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8E" w:rsidRDefault="00E37D8E" w:rsidP="002F582E">
      <w:pPr>
        <w:spacing w:after="0" w:line="360" w:lineRule="auto"/>
        <w:rPr>
          <w:sz w:val="72"/>
          <w:szCs w:val="72"/>
        </w:rPr>
      </w:pPr>
    </w:p>
    <w:p w:rsidR="002F72EE" w:rsidRDefault="002F72EE" w:rsidP="002F582E">
      <w:pPr>
        <w:spacing w:after="0" w:line="360" w:lineRule="auto"/>
        <w:rPr>
          <w:sz w:val="72"/>
          <w:szCs w:val="72"/>
        </w:rPr>
      </w:pPr>
    </w:p>
    <w:p w:rsidR="002F72EE" w:rsidRDefault="002F72EE" w:rsidP="002F582E">
      <w:pPr>
        <w:spacing w:after="0" w:line="360" w:lineRule="auto"/>
        <w:rPr>
          <w:sz w:val="72"/>
          <w:szCs w:val="72"/>
        </w:rPr>
      </w:pPr>
    </w:p>
    <w:p w:rsidR="002F72EE" w:rsidRDefault="002F72EE" w:rsidP="002F582E">
      <w:pPr>
        <w:spacing w:after="0" w:line="360" w:lineRule="auto"/>
        <w:rPr>
          <w:sz w:val="72"/>
          <w:szCs w:val="72"/>
        </w:rPr>
      </w:pPr>
    </w:p>
    <w:p w:rsidR="002F72EE" w:rsidRDefault="00872C20" w:rsidP="002F582E">
      <w:pPr>
        <w:spacing w:after="0" w:line="360" w:lineRule="auto"/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General Rules</w:t>
      </w:r>
      <w:r w:rsidR="00641155">
        <w:rPr>
          <w:rFonts w:cs="Times New Roman"/>
          <w:sz w:val="72"/>
          <w:szCs w:val="72"/>
        </w:rPr>
        <w:t xml:space="preserve"> of</w:t>
      </w:r>
      <w:r w:rsidR="002F72EE" w:rsidRPr="002F72EE">
        <w:rPr>
          <w:rFonts w:cs="Times New Roman"/>
          <w:sz w:val="72"/>
          <w:szCs w:val="72"/>
        </w:rPr>
        <w:t xml:space="preserve"> Legal Citations</w:t>
      </w:r>
    </w:p>
    <w:p w:rsidR="002F72EE" w:rsidRDefault="002F72EE" w:rsidP="002F582E">
      <w:pPr>
        <w:spacing w:after="0" w:line="360" w:lineRule="auto"/>
        <w:rPr>
          <w:rFonts w:cs="Times New Roman"/>
          <w:sz w:val="72"/>
          <w:szCs w:val="72"/>
        </w:rPr>
      </w:pPr>
    </w:p>
    <w:p w:rsidR="002F72EE" w:rsidRDefault="002F72EE" w:rsidP="002F582E">
      <w:pPr>
        <w:spacing w:after="0" w:line="360" w:lineRule="auto"/>
        <w:rPr>
          <w:rFonts w:cs="Times New Roman"/>
          <w:sz w:val="72"/>
          <w:szCs w:val="72"/>
        </w:rPr>
      </w:pPr>
    </w:p>
    <w:p w:rsidR="002F72EE" w:rsidRDefault="002F72EE" w:rsidP="002F582E">
      <w:pPr>
        <w:spacing w:after="0" w:line="360" w:lineRule="auto"/>
        <w:rPr>
          <w:rFonts w:cs="Times New Roman"/>
          <w:sz w:val="72"/>
          <w:szCs w:val="72"/>
        </w:rPr>
      </w:pPr>
    </w:p>
    <w:p w:rsidR="002F72EE" w:rsidRDefault="002F72EE" w:rsidP="002F582E">
      <w:pPr>
        <w:pStyle w:val="Footer"/>
        <w:spacing w:line="360" w:lineRule="auto"/>
        <w:jc w:val="center"/>
        <w:rPr>
          <w:rFonts w:cs="Times New Roman"/>
          <w:sz w:val="16"/>
          <w:szCs w:val="16"/>
        </w:rPr>
      </w:pPr>
    </w:p>
    <w:p w:rsidR="002F72EE" w:rsidRDefault="002F72EE" w:rsidP="002F582E">
      <w:pPr>
        <w:pStyle w:val="Footer"/>
        <w:spacing w:line="360" w:lineRule="auto"/>
        <w:jc w:val="center"/>
        <w:rPr>
          <w:rFonts w:cs="Times New Roman"/>
          <w:sz w:val="16"/>
          <w:szCs w:val="16"/>
        </w:rPr>
      </w:pPr>
    </w:p>
    <w:p w:rsidR="002F72EE" w:rsidRDefault="002F72EE" w:rsidP="002F582E">
      <w:pPr>
        <w:pStyle w:val="Footer"/>
        <w:spacing w:line="360" w:lineRule="auto"/>
        <w:jc w:val="center"/>
        <w:rPr>
          <w:rFonts w:cs="Times New Roman"/>
          <w:sz w:val="16"/>
          <w:szCs w:val="16"/>
        </w:rPr>
      </w:pPr>
    </w:p>
    <w:p w:rsidR="002F72EE" w:rsidRDefault="002F72EE" w:rsidP="002F582E">
      <w:pPr>
        <w:pStyle w:val="Footer"/>
        <w:spacing w:line="360" w:lineRule="auto"/>
        <w:jc w:val="center"/>
        <w:rPr>
          <w:rFonts w:cs="Times New Roman"/>
          <w:sz w:val="16"/>
          <w:szCs w:val="16"/>
        </w:rPr>
      </w:pPr>
    </w:p>
    <w:p w:rsidR="0012335A" w:rsidRDefault="002F72EE" w:rsidP="002F582E">
      <w:pPr>
        <w:pStyle w:val="Footer"/>
        <w:spacing w:line="360" w:lineRule="auto"/>
        <w:jc w:val="center"/>
        <w:rPr>
          <w:rFonts w:cs="Times New Roman"/>
          <w:sz w:val="16"/>
          <w:szCs w:val="16"/>
        </w:rPr>
      </w:pPr>
      <w:r w:rsidRPr="002F72EE">
        <w:rPr>
          <w:rFonts w:cs="Times New Roman"/>
          <w:sz w:val="16"/>
          <w:szCs w:val="16"/>
        </w:rPr>
        <w:t xml:space="preserve">This document is to be used only for additional information, and does not take the place of the </w:t>
      </w:r>
      <w:r w:rsidRPr="002F72EE">
        <w:rPr>
          <w:rStyle w:val="Emphasis"/>
          <w:rFonts w:cs="Times New Roman"/>
          <w:sz w:val="16"/>
          <w:szCs w:val="16"/>
        </w:rPr>
        <w:t>Canadian Guide to Uniform Legal Citation</w:t>
      </w:r>
      <w:r w:rsidRPr="002F72EE">
        <w:rPr>
          <w:rFonts w:cs="Times New Roman"/>
          <w:sz w:val="16"/>
          <w:szCs w:val="16"/>
        </w:rPr>
        <w:t>.</w:t>
      </w:r>
      <w:bookmarkStart w:id="0" w:name="_Toc54351376"/>
    </w:p>
    <w:bookmarkEnd w:id="0"/>
    <w:p w:rsidR="00DD2389" w:rsidRDefault="00DD2389" w:rsidP="002F582E">
      <w:pPr>
        <w:spacing w:after="0" w:line="360" w:lineRule="auto"/>
        <w:jc w:val="center"/>
        <w:rPr>
          <w:rFonts w:cs="Times New Roman"/>
          <w:szCs w:val="24"/>
        </w:rPr>
      </w:pPr>
    </w:p>
    <w:p w:rsidR="00331D20" w:rsidRDefault="0047271D" w:rsidP="009C5A1B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This document is intended to </w:t>
      </w:r>
      <w:proofErr w:type="gramStart"/>
      <w:r>
        <w:rPr>
          <w:rFonts w:cs="Times New Roman"/>
          <w:szCs w:val="24"/>
        </w:rPr>
        <w:t>provide</w:t>
      </w:r>
      <w:proofErr w:type="gramEnd"/>
      <w:r>
        <w:rPr>
          <w:rFonts w:cs="Times New Roman"/>
          <w:szCs w:val="24"/>
        </w:rPr>
        <w:t xml:space="preserve"> a</w:t>
      </w:r>
      <w:r w:rsidR="00FF67E4">
        <w:rPr>
          <w:rFonts w:cs="Times New Roman"/>
          <w:szCs w:val="24"/>
        </w:rPr>
        <w:t xml:space="preserve"> brief</w:t>
      </w:r>
      <w:r w:rsidR="002E28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introduction </w:t>
      </w:r>
      <w:r w:rsidR="00872C20">
        <w:rPr>
          <w:rFonts w:cs="Times New Roman"/>
          <w:szCs w:val="24"/>
        </w:rPr>
        <w:t xml:space="preserve">to the general rules of </w:t>
      </w:r>
      <w:r>
        <w:rPr>
          <w:rFonts w:cs="Times New Roman"/>
          <w:szCs w:val="24"/>
        </w:rPr>
        <w:t xml:space="preserve">legal citations according to the </w:t>
      </w:r>
      <w:r w:rsidR="00C52775">
        <w:rPr>
          <w:rFonts w:cs="Times New Roman"/>
          <w:szCs w:val="24"/>
        </w:rPr>
        <w:t xml:space="preserve">McGill Law Journal’s (2014) </w:t>
      </w:r>
      <w:r w:rsidR="00C52775" w:rsidRPr="00C52775">
        <w:rPr>
          <w:rFonts w:cs="Times New Roman"/>
          <w:i/>
          <w:szCs w:val="24"/>
        </w:rPr>
        <w:t>Canadian Guide to Uniform Legal Citations</w:t>
      </w:r>
      <w:r w:rsidR="00C52775">
        <w:rPr>
          <w:rFonts w:cs="Times New Roman"/>
          <w:szCs w:val="24"/>
        </w:rPr>
        <w:t xml:space="preserve">, or as it is often known, the </w:t>
      </w:r>
      <w:r w:rsidR="00C52775" w:rsidRPr="00C52775">
        <w:rPr>
          <w:rFonts w:cs="Times New Roman"/>
          <w:i/>
          <w:szCs w:val="24"/>
        </w:rPr>
        <w:t>McGill Guide</w:t>
      </w:r>
      <w:r w:rsidR="00C52775">
        <w:rPr>
          <w:rFonts w:cs="Times New Roman"/>
          <w:szCs w:val="24"/>
        </w:rPr>
        <w:t xml:space="preserve">. For in-depth explanations and examples that are based on the </w:t>
      </w:r>
      <w:r w:rsidR="00C52775" w:rsidRPr="002E28A1">
        <w:rPr>
          <w:rFonts w:cs="Times New Roman"/>
          <w:i/>
          <w:szCs w:val="24"/>
        </w:rPr>
        <w:t>McGill Guide</w:t>
      </w:r>
      <w:r w:rsidR="00C52775">
        <w:rPr>
          <w:rFonts w:cs="Times New Roman"/>
          <w:szCs w:val="24"/>
        </w:rPr>
        <w:t xml:space="preserve">, please see the UBC Law Library’s </w:t>
      </w:r>
      <w:hyperlink r:id="rId8" w:history="1">
        <w:r w:rsidR="002E28A1" w:rsidRPr="002E28A1">
          <w:rPr>
            <w:rStyle w:val="Hyperlink"/>
            <w:rFonts w:cs="Times New Roman"/>
            <w:szCs w:val="24"/>
          </w:rPr>
          <w:t>Legal Citation Guide</w:t>
        </w:r>
      </w:hyperlink>
      <w:r w:rsidR="002E28A1">
        <w:rPr>
          <w:rFonts w:cs="Times New Roman"/>
          <w:szCs w:val="24"/>
        </w:rPr>
        <w:t xml:space="preserve">. </w:t>
      </w:r>
      <w:r w:rsidR="00E27BF0">
        <w:rPr>
          <w:rFonts w:cs="Times New Roman"/>
          <w:szCs w:val="24"/>
        </w:rPr>
        <w:t xml:space="preserve">Please remember that the information provided here is a small piece in the bigger picture of legal citation; </w:t>
      </w:r>
      <w:r w:rsidR="00E27BF0" w:rsidRPr="0025553A">
        <w:rPr>
          <w:rFonts w:cs="Times New Roman"/>
          <w:szCs w:val="24"/>
        </w:rPr>
        <w:t>if you have a question that is not answered within this document, it is your responsibility to</w:t>
      </w:r>
      <w:r w:rsidR="00E27BF0">
        <w:rPr>
          <w:rFonts w:cs="Times New Roman"/>
          <w:szCs w:val="24"/>
        </w:rPr>
        <w:t xml:space="preserve"> consult the </w:t>
      </w:r>
      <w:r w:rsidR="00E27BF0" w:rsidRPr="0098710C">
        <w:rPr>
          <w:rFonts w:cs="Times New Roman"/>
          <w:i/>
          <w:szCs w:val="24"/>
        </w:rPr>
        <w:t>Canadian Guide to Uniform Legal Citation</w:t>
      </w:r>
      <w:r w:rsidR="00E27BF0" w:rsidRPr="0025553A">
        <w:rPr>
          <w:rFonts w:cs="Times New Roman"/>
          <w:szCs w:val="24"/>
        </w:rPr>
        <w:t xml:space="preserve"> </w:t>
      </w:r>
      <w:r w:rsidR="00E27BF0">
        <w:rPr>
          <w:rFonts w:cs="Times New Roman"/>
          <w:szCs w:val="24"/>
        </w:rPr>
        <w:t>(8</w:t>
      </w:r>
      <w:r w:rsidR="00E27BF0" w:rsidRPr="00A04BF5">
        <w:rPr>
          <w:rFonts w:cs="Times New Roman"/>
          <w:szCs w:val="24"/>
          <w:vertAlign w:val="superscript"/>
        </w:rPr>
        <w:t>th</w:t>
      </w:r>
      <w:r w:rsidR="00E27BF0">
        <w:rPr>
          <w:rFonts w:cs="Times New Roman"/>
          <w:szCs w:val="24"/>
        </w:rPr>
        <w:t xml:space="preserve"> ed.) or the </w:t>
      </w:r>
      <w:hyperlink r:id="rId9" w:history="1">
        <w:r w:rsidR="00E27BF0" w:rsidRPr="0021283C">
          <w:rPr>
            <w:rStyle w:val="Hyperlink"/>
            <w:rFonts w:cs="Times New Roman"/>
            <w:szCs w:val="24"/>
          </w:rPr>
          <w:t>Legal Citation Guide</w:t>
        </w:r>
      </w:hyperlink>
      <w:r w:rsidR="00E27BF0">
        <w:rPr>
          <w:rFonts w:cs="Times New Roman"/>
          <w:szCs w:val="24"/>
        </w:rPr>
        <w:t xml:space="preserve">. </w:t>
      </w:r>
    </w:p>
    <w:p w:rsidR="00FF67E4" w:rsidRDefault="00DA020A" w:rsidP="009C5A1B">
      <w:pPr>
        <w:spacing w:after="0" w:line="480" w:lineRule="auto"/>
        <w:ind w:firstLine="720"/>
      </w:pPr>
      <w:r>
        <w:rPr>
          <w:rFonts w:cs="Times New Roman"/>
          <w:szCs w:val="24"/>
        </w:rPr>
        <w:t xml:space="preserve">While this document addresses </w:t>
      </w:r>
      <w:r w:rsidR="00301BB3">
        <w:rPr>
          <w:rFonts w:cs="Times New Roman"/>
          <w:szCs w:val="24"/>
        </w:rPr>
        <w:t xml:space="preserve">some aspects of </w:t>
      </w:r>
      <w:r>
        <w:rPr>
          <w:rFonts w:cs="Times New Roman"/>
          <w:szCs w:val="24"/>
        </w:rPr>
        <w:t>legal citation, the document itself is not a legal document</w:t>
      </w:r>
      <w:r w:rsidR="00301BB3">
        <w:rPr>
          <w:rFonts w:cs="Times New Roman"/>
          <w:szCs w:val="24"/>
        </w:rPr>
        <w:t xml:space="preserve">. Accordingly, </w:t>
      </w:r>
      <w:r>
        <w:rPr>
          <w:rFonts w:cs="Times New Roman"/>
          <w:szCs w:val="24"/>
        </w:rPr>
        <w:t>w</w:t>
      </w:r>
      <w:r w:rsidR="00331D20">
        <w:t xml:space="preserve">henever possible, this document has been formatted to </w:t>
      </w:r>
      <w:r w:rsidR="00BB5A8A">
        <w:t xml:space="preserve">the </w:t>
      </w:r>
      <w:r w:rsidR="00331D20">
        <w:t xml:space="preserve">APA </w:t>
      </w:r>
      <w:r>
        <w:t xml:space="preserve">Style rules. </w:t>
      </w:r>
      <w:r w:rsidR="009C5A1B">
        <w:t>T</w:t>
      </w:r>
      <w:r w:rsidR="00FF67E4">
        <w:t xml:space="preserve">he </w:t>
      </w:r>
      <w:r w:rsidR="00FF67E4" w:rsidRPr="009C5A1B">
        <w:rPr>
          <w:i/>
        </w:rPr>
        <w:t>McGill Guide</w:t>
      </w:r>
      <w:r w:rsidR="00FF67E4">
        <w:t xml:space="preserve"> uses bolding to signal key information or an example</w:t>
      </w:r>
      <w:r w:rsidR="001F6C5A">
        <w:t xml:space="preserve">, and </w:t>
      </w:r>
      <w:r w:rsidR="00FF67E4">
        <w:t xml:space="preserve">that formatting has been replicated in this text. Please do not copy the bolding in your legal citations. </w:t>
      </w:r>
    </w:p>
    <w:p w:rsidR="00E27BF0" w:rsidRDefault="00DA020A" w:rsidP="009C5A1B">
      <w:pPr>
        <w:spacing w:after="0" w:line="480" w:lineRule="auto"/>
        <w:ind w:firstLine="720"/>
        <w:rPr>
          <w:rFonts w:cs="Times New Roman"/>
          <w:szCs w:val="24"/>
        </w:rPr>
      </w:pPr>
      <w:r>
        <w:t>If you have any questions regarding the contents of this docum</w:t>
      </w:r>
      <w:r w:rsidR="00BB5A8A">
        <w:t xml:space="preserve">ent, please </w:t>
      </w:r>
      <w:hyperlink r:id="rId10" w:history="1">
        <w:r w:rsidR="00BB5A8A" w:rsidRPr="00BB5A8A">
          <w:rPr>
            <w:rStyle w:val="Hyperlink"/>
          </w:rPr>
          <w:t>contact the Writing Centre</w:t>
        </w:r>
      </w:hyperlink>
      <w:r w:rsidR="00BB5A8A">
        <w:t>.</w:t>
      </w:r>
    </w:p>
    <w:p w:rsidR="00941947" w:rsidRDefault="00E27BF0" w:rsidP="002F582E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941947" w:rsidRDefault="00941947" w:rsidP="002F582E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  <w:r>
        <w:rPr>
          <w:rFonts w:cs="Times New Roman"/>
          <w:szCs w:val="24"/>
        </w:rPr>
        <w:lastRenderedPageBreak/>
        <w:t>Table of Contents</w:t>
      </w:r>
    </w:p>
    <w:sdt>
      <w:sdtPr>
        <w:id w:val="14923664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C5A1B" w:rsidRDefault="009419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825593" w:history="1">
            <w:r w:rsidR="009C5A1B" w:rsidRPr="00656D89">
              <w:rPr>
                <w:rStyle w:val="Hyperlink"/>
                <w:noProof/>
              </w:rPr>
              <w:t>Bibliographies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_Toc401825593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5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594" w:history="1">
            <w:r w:rsidR="009C5A1B" w:rsidRPr="00656D89">
              <w:rPr>
                <w:rStyle w:val="Hyperlink"/>
                <w:noProof/>
              </w:rPr>
              <w:t>Memorandum and Facta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_Toc401825594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5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595" w:history="1">
            <w:r w:rsidR="009C5A1B" w:rsidRPr="00656D89">
              <w:rPr>
                <w:rStyle w:val="Hyperlink"/>
                <w:noProof/>
              </w:rPr>
              <w:t>Footnotes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_Toc401825595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5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596" w:history="1">
            <w:r w:rsidR="009C5A1B" w:rsidRPr="00656D89">
              <w:rPr>
                <w:rStyle w:val="Hyperlink"/>
                <w:noProof/>
              </w:rPr>
              <w:t>Placement of Footnote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_Toc401825596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6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597" w:history="1">
            <w:r w:rsidR="009C5A1B" w:rsidRPr="00656D89">
              <w:rPr>
                <w:rStyle w:val="Hyperlink"/>
                <w:noProof/>
              </w:rPr>
              <w:t>Prior and Subsequent Citations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_Toc401825597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7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598" w:history="1">
            <w:r w:rsidR="009C5A1B" w:rsidRPr="00656D89">
              <w:rPr>
                <w:rStyle w:val="Hyperlink"/>
                <w:noProof/>
              </w:rPr>
              <w:t>Short Form: General Rules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_Toc401825598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8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599" w:history="1">
            <w:r w:rsidR="009C5A1B" w:rsidRPr="00656D89">
              <w:rPr>
                <w:rStyle w:val="Hyperlink"/>
                <w:noProof/>
              </w:rPr>
              <w:t>Short Form: Legislation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_Toc401825599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9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600" w:history="1">
            <w:r w:rsidR="009C5A1B" w:rsidRPr="00656D89">
              <w:rPr>
                <w:rStyle w:val="Hyperlink"/>
                <w:i/>
                <w:noProof/>
              </w:rPr>
              <w:t>Ibid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_Toc401825600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10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601" w:history="1">
            <w:r w:rsidR="009C5A1B" w:rsidRPr="00656D89">
              <w:rPr>
                <w:rStyle w:val="Hyperlink"/>
                <w:i/>
                <w:noProof/>
              </w:rPr>
              <w:t>Supra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_Toc401825601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10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602" w:history="1">
            <w:r w:rsidR="009C5A1B" w:rsidRPr="00656D89">
              <w:rPr>
                <w:rStyle w:val="Hyperlink"/>
                <w:noProof/>
              </w:rPr>
              <w:t>Pinpoints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_Toc401825602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11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603" w:history="1">
            <w:r w:rsidR="009C5A1B" w:rsidRPr="00656D89">
              <w:rPr>
                <w:rStyle w:val="Hyperlink"/>
                <w:noProof/>
              </w:rPr>
              <w:t>Online resources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_Toc401825603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11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604" w:history="1">
            <w:r w:rsidR="009C5A1B" w:rsidRPr="00656D89">
              <w:rPr>
                <w:rStyle w:val="Hyperlink"/>
                <w:noProof/>
              </w:rPr>
              <w:t>Secondary sources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_Toc401825604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12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C5A1B" w:rsidRDefault="00A014E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1825605" w:history="1">
            <w:r w:rsidR="009C5A1B" w:rsidRPr="00656D89">
              <w:rPr>
                <w:rStyle w:val="Hyperlink"/>
                <w:noProof/>
              </w:rPr>
              <w:t>Conclusion</w:t>
            </w:r>
            <w:r w:rsidR="009C5A1B">
              <w:rPr>
                <w:noProof/>
                <w:webHidden/>
              </w:rPr>
              <w:tab/>
            </w:r>
            <w:r w:rsidR="009C5A1B">
              <w:rPr>
                <w:noProof/>
                <w:webHidden/>
              </w:rPr>
              <w:fldChar w:fldCharType="begin"/>
            </w:r>
            <w:r w:rsidR="009C5A1B">
              <w:rPr>
                <w:noProof/>
                <w:webHidden/>
              </w:rPr>
              <w:instrText xml:space="preserve"> PAGEREF _Toc401825605 \h </w:instrText>
            </w:r>
            <w:r w:rsidR="009C5A1B">
              <w:rPr>
                <w:noProof/>
                <w:webHidden/>
              </w:rPr>
            </w:r>
            <w:r w:rsidR="009C5A1B">
              <w:rPr>
                <w:noProof/>
                <w:webHidden/>
              </w:rPr>
              <w:fldChar w:fldCharType="separate"/>
            </w:r>
            <w:r w:rsidR="001F6C5A">
              <w:rPr>
                <w:noProof/>
                <w:webHidden/>
              </w:rPr>
              <w:t>13</w:t>
            </w:r>
            <w:r w:rsidR="009C5A1B">
              <w:rPr>
                <w:noProof/>
                <w:webHidden/>
              </w:rPr>
              <w:fldChar w:fldCharType="end"/>
            </w:r>
          </w:hyperlink>
        </w:p>
        <w:p w:rsidR="00941947" w:rsidRDefault="00941947" w:rsidP="002F582E">
          <w:pPr>
            <w:spacing w:after="0"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0F03" w:rsidRDefault="00010F03" w:rsidP="002F582E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:rsidR="00010F03" w:rsidRDefault="00010F03" w:rsidP="002F582E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7271D" w:rsidRDefault="00972958" w:rsidP="009C5A1B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General Rules</w:t>
      </w:r>
      <w:r w:rsidR="00010F03">
        <w:rPr>
          <w:rFonts w:cs="Times New Roman"/>
          <w:szCs w:val="24"/>
        </w:rPr>
        <w:t xml:space="preserve"> of Legal Citations</w:t>
      </w:r>
    </w:p>
    <w:p w:rsidR="00010F03" w:rsidRDefault="00010F03" w:rsidP="009C5A1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The majority of students at Royal Roads University use the rules of the </w:t>
      </w:r>
      <w:r>
        <w:rPr>
          <w:rFonts w:cs="Times New Roman"/>
          <w:i/>
          <w:szCs w:val="24"/>
        </w:rPr>
        <w:t>Publication Manual of the American Psychological Association</w:t>
      </w:r>
      <w:r>
        <w:rPr>
          <w:rFonts w:cs="Times New Roman"/>
          <w:szCs w:val="24"/>
        </w:rPr>
        <w:t xml:space="preserve"> </w:t>
      </w:r>
      <w:bookmarkStart w:id="1" w:name="_GoBack"/>
      <w:bookmarkEnd w:id="1"/>
      <w:r>
        <w:rPr>
          <w:rFonts w:cs="Times New Roman"/>
          <w:szCs w:val="24"/>
        </w:rPr>
        <w:t xml:space="preserve">(hereafter referred to as the APA manual) to format in-text citations and references. The APA manual provides information in Appendix 7.1 on how to create references to legal materials; however, because the </w:t>
      </w:r>
      <w:r w:rsidRPr="00010F03">
        <w:rPr>
          <w:rFonts w:cs="Times New Roman"/>
          <w:i/>
          <w:szCs w:val="24"/>
        </w:rPr>
        <w:t>American Psychological Association</w:t>
      </w:r>
      <w:r w:rsidR="0098710C">
        <w:rPr>
          <w:rFonts w:cs="Times New Roman"/>
          <w:szCs w:val="24"/>
        </w:rPr>
        <w:t xml:space="preserve"> is an American organization, only American legal materials are ad</w:t>
      </w:r>
      <w:r w:rsidR="00F426A7">
        <w:rPr>
          <w:rFonts w:cs="Times New Roman"/>
          <w:szCs w:val="24"/>
        </w:rPr>
        <w:t xml:space="preserve">dressed in the appendix. Accordingly, </w:t>
      </w:r>
      <w:r w:rsidR="0098710C">
        <w:rPr>
          <w:rFonts w:cs="Times New Roman"/>
          <w:szCs w:val="24"/>
        </w:rPr>
        <w:t xml:space="preserve">authors citing Canadian legislation need to turn to another source for assistance with </w:t>
      </w:r>
      <w:r w:rsidR="00F426A7">
        <w:rPr>
          <w:rFonts w:cs="Times New Roman"/>
          <w:szCs w:val="24"/>
        </w:rPr>
        <w:t xml:space="preserve">Canadian </w:t>
      </w:r>
      <w:r w:rsidR="0098710C">
        <w:rPr>
          <w:rFonts w:cs="Times New Roman"/>
          <w:szCs w:val="24"/>
        </w:rPr>
        <w:t xml:space="preserve">legal citations. The McGill Law Journal’s </w:t>
      </w:r>
      <w:r w:rsidR="0098710C" w:rsidRPr="0098710C">
        <w:rPr>
          <w:rFonts w:cs="Times New Roman"/>
          <w:i/>
          <w:szCs w:val="24"/>
        </w:rPr>
        <w:t>Canadian Guide to Uniform Legal Citation</w:t>
      </w:r>
      <w:r w:rsidR="00A84865">
        <w:rPr>
          <w:rFonts w:cs="Times New Roman"/>
          <w:szCs w:val="24"/>
        </w:rPr>
        <w:t xml:space="preserve"> (hereafter referred to as the </w:t>
      </w:r>
      <w:r w:rsidR="00A84865" w:rsidRPr="00A84865">
        <w:rPr>
          <w:rFonts w:cs="Times New Roman"/>
          <w:i/>
          <w:szCs w:val="24"/>
        </w:rPr>
        <w:t>McGill Guide</w:t>
      </w:r>
      <w:r w:rsidR="00A84865">
        <w:rPr>
          <w:rFonts w:cs="Times New Roman"/>
          <w:szCs w:val="24"/>
        </w:rPr>
        <w:t>)</w:t>
      </w:r>
      <w:r w:rsidR="0098710C">
        <w:rPr>
          <w:rFonts w:cs="Times New Roman"/>
          <w:szCs w:val="24"/>
        </w:rPr>
        <w:t>, currently in its 8</w:t>
      </w:r>
      <w:r w:rsidR="0098710C" w:rsidRPr="0098710C">
        <w:rPr>
          <w:rFonts w:cs="Times New Roman"/>
          <w:szCs w:val="24"/>
          <w:vertAlign w:val="superscript"/>
        </w:rPr>
        <w:t>th</w:t>
      </w:r>
      <w:r w:rsidR="0098710C">
        <w:rPr>
          <w:rFonts w:cs="Times New Roman"/>
          <w:szCs w:val="24"/>
        </w:rPr>
        <w:t xml:space="preserve"> edition, </w:t>
      </w:r>
      <w:r w:rsidR="00B0216A">
        <w:rPr>
          <w:rFonts w:cs="Times New Roman"/>
          <w:szCs w:val="24"/>
        </w:rPr>
        <w:t>has set the standard for Canadian legal citations and is a widely-accepted system of referencing</w:t>
      </w:r>
      <w:r w:rsidR="00876EE7">
        <w:rPr>
          <w:rFonts w:cs="Times New Roman"/>
          <w:szCs w:val="24"/>
        </w:rPr>
        <w:t xml:space="preserve"> (McGill Law Journal, 2014, pp. E-iii</w:t>
      </w:r>
      <w:r w:rsidR="00F0662F">
        <w:rPr>
          <w:rFonts w:cs="Times New Roman"/>
          <w:szCs w:val="24"/>
        </w:rPr>
        <w:t>–</w:t>
      </w:r>
      <w:r w:rsidR="00876EE7">
        <w:rPr>
          <w:rFonts w:cs="Times New Roman"/>
          <w:szCs w:val="24"/>
        </w:rPr>
        <w:t>iv)</w:t>
      </w:r>
      <w:r w:rsidR="00B0216A">
        <w:rPr>
          <w:rFonts w:cs="Times New Roman"/>
          <w:szCs w:val="24"/>
        </w:rPr>
        <w:t>.</w:t>
      </w:r>
      <w:r w:rsidR="0021283C">
        <w:rPr>
          <w:rFonts w:cs="Times New Roman"/>
          <w:szCs w:val="24"/>
        </w:rPr>
        <w:t xml:space="preserve"> </w:t>
      </w:r>
    </w:p>
    <w:p w:rsidR="0021283C" w:rsidRDefault="0021283C" w:rsidP="009C5A1B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The University of British Columbia Law Library maintains an excellent </w:t>
      </w:r>
      <w:hyperlink r:id="rId11" w:history="1">
        <w:r w:rsidRPr="0021283C">
          <w:rPr>
            <w:rStyle w:val="Hyperlink"/>
            <w:rFonts w:cs="Times New Roman"/>
            <w:szCs w:val="24"/>
          </w:rPr>
          <w:t>Legal Citation Guide</w:t>
        </w:r>
      </w:hyperlink>
      <w:r>
        <w:rPr>
          <w:rFonts w:cs="Times New Roman"/>
          <w:szCs w:val="24"/>
        </w:rPr>
        <w:t xml:space="preserve">, </w:t>
      </w:r>
      <w:r w:rsidR="00A84865">
        <w:rPr>
          <w:rFonts w:cs="Times New Roman"/>
          <w:szCs w:val="24"/>
        </w:rPr>
        <w:t xml:space="preserve">which provides extensive information from the </w:t>
      </w:r>
      <w:r w:rsidR="00A84865" w:rsidRPr="00A84865">
        <w:rPr>
          <w:rFonts w:cs="Times New Roman"/>
          <w:i/>
          <w:szCs w:val="24"/>
        </w:rPr>
        <w:t>McGill Guide</w:t>
      </w:r>
      <w:r w:rsidR="00A84865">
        <w:rPr>
          <w:rFonts w:cs="Times New Roman"/>
          <w:i/>
          <w:szCs w:val="24"/>
        </w:rPr>
        <w:t>,</w:t>
      </w:r>
      <w:r w:rsidR="00A84865">
        <w:rPr>
          <w:rFonts w:cs="Times New Roman"/>
          <w:szCs w:val="24"/>
        </w:rPr>
        <w:t xml:space="preserve"> </w:t>
      </w:r>
      <w:r w:rsidR="00E8038B">
        <w:rPr>
          <w:rFonts w:cs="Times New Roman"/>
          <w:szCs w:val="24"/>
        </w:rPr>
        <w:t>so</w:t>
      </w:r>
      <w:r>
        <w:rPr>
          <w:rFonts w:cs="Times New Roman"/>
          <w:szCs w:val="24"/>
        </w:rPr>
        <w:t xml:space="preserve"> this document will not attempt to duplicate the information provided in that guide. Students looking for examples of legal citations (e.g., </w:t>
      </w:r>
      <w:r w:rsidR="009C7848">
        <w:rPr>
          <w:rFonts w:cs="Times New Roman"/>
          <w:szCs w:val="24"/>
        </w:rPr>
        <w:t>how to cite Parliamentary publications, cases, legislation, or international law sources such as UN documents)</w:t>
      </w:r>
      <w:r>
        <w:rPr>
          <w:rFonts w:cs="Times New Roman"/>
          <w:szCs w:val="24"/>
        </w:rPr>
        <w:t xml:space="preserve"> should refer to the </w:t>
      </w:r>
      <w:hyperlink r:id="rId12" w:history="1">
        <w:r w:rsidR="00E8038B" w:rsidRPr="0021283C">
          <w:rPr>
            <w:rStyle w:val="Hyperlink"/>
            <w:rFonts w:cs="Times New Roman"/>
            <w:szCs w:val="24"/>
          </w:rPr>
          <w:t>Legal Citation Guide</w:t>
        </w:r>
      </w:hyperlink>
      <w:r w:rsidR="009C7848">
        <w:rPr>
          <w:rFonts w:cs="Times New Roman"/>
          <w:szCs w:val="24"/>
        </w:rPr>
        <w:t xml:space="preserve">. For all other types of citations (referred to as “secondary sources” and “non-Parliamentary publications in the Legal Citation Guide), students should use the standard </w:t>
      </w:r>
      <w:hyperlink r:id="rId13" w:history="1">
        <w:r w:rsidR="009C7848" w:rsidRPr="009C7848">
          <w:rPr>
            <w:rStyle w:val="Hyperlink"/>
            <w:rFonts w:cs="Times New Roman"/>
            <w:szCs w:val="24"/>
          </w:rPr>
          <w:t>APA Style</w:t>
        </w:r>
      </w:hyperlink>
      <w:r w:rsidR="009C7848">
        <w:rPr>
          <w:rFonts w:cs="Times New Roman"/>
          <w:szCs w:val="24"/>
        </w:rPr>
        <w:t xml:space="preserve"> rules. The </w:t>
      </w:r>
      <w:r w:rsidR="00F426A7">
        <w:rPr>
          <w:rFonts w:cs="Times New Roman"/>
          <w:szCs w:val="24"/>
        </w:rPr>
        <w:t xml:space="preserve">Legal Citation Guide does not explain the </w:t>
      </w:r>
      <w:r w:rsidR="00972958">
        <w:rPr>
          <w:rFonts w:cs="Times New Roman"/>
          <w:szCs w:val="24"/>
        </w:rPr>
        <w:t>general rules</w:t>
      </w:r>
      <w:r w:rsidR="00F426A7">
        <w:rPr>
          <w:rFonts w:cs="Times New Roman"/>
          <w:szCs w:val="24"/>
        </w:rPr>
        <w:t xml:space="preserve"> of legal citation, so this document will </w:t>
      </w:r>
      <w:r w:rsidR="009C7848">
        <w:rPr>
          <w:rFonts w:cs="Times New Roman"/>
          <w:szCs w:val="24"/>
        </w:rPr>
        <w:t xml:space="preserve">provide </w:t>
      </w:r>
      <w:r w:rsidR="00F426A7">
        <w:rPr>
          <w:rFonts w:cs="Times New Roman"/>
          <w:szCs w:val="24"/>
        </w:rPr>
        <w:t xml:space="preserve">that information, based on instructions from the </w:t>
      </w:r>
      <w:r w:rsidR="00F426A7" w:rsidRPr="00F426A7">
        <w:rPr>
          <w:rFonts w:cs="Times New Roman"/>
          <w:i/>
          <w:szCs w:val="24"/>
        </w:rPr>
        <w:t>McGill Guide</w:t>
      </w:r>
      <w:r w:rsidR="00F426A7">
        <w:rPr>
          <w:rFonts w:cs="Times New Roman"/>
          <w:szCs w:val="24"/>
        </w:rPr>
        <w:t xml:space="preserve">. </w:t>
      </w:r>
      <w:r w:rsidR="001F6C5A">
        <w:t xml:space="preserve">The </w:t>
      </w:r>
      <w:r w:rsidR="001F6C5A" w:rsidRPr="009C5A1B">
        <w:rPr>
          <w:i/>
        </w:rPr>
        <w:t>McGill Guide</w:t>
      </w:r>
      <w:r w:rsidR="001F6C5A">
        <w:t xml:space="preserve"> uses bolding to signal key information or an example, and that formatting has been replicated in this text. Please do not copy the bolding in your legal citations.</w:t>
      </w:r>
    </w:p>
    <w:p w:rsidR="00035D39" w:rsidRDefault="00035D39" w:rsidP="009C5A1B">
      <w:pPr>
        <w:pStyle w:val="Heading1"/>
      </w:pPr>
      <w:bookmarkStart w:id="2" w:name="_Toc401825593"/>
      <w:r>
        <w:lastRenderedPageBreak/>
        <w:t>Bibliographies</w:t>
      </w:r>
      <w:bookmarkEnd w:id="2"/>
    </w:p>
    <w:p w:rsidR="00035D39" w:rsidRDefault="00035D39" w:rsidP="009C5A1B">
      <w:pPr>
        <w:spacing w:after="0" w:line="480" w:lineRule="auto"/>
      </w:pPr>
      <w:r>
        <w:tab/>
        <w:t xml:space="preserve">According to the </w:t>
      </w:r>
      <w:r w:rsidRPr="00035D39">
        <w:rPr>
          <w:i/>
        </w:rPr>
        <w:t>McGill Guide</w:t>
      </w:r>
      <w:r>
        <w:t xml:space="preserve"> (2014), bibliographies and tables of authorities should be broken into “Legislation, Jurisprudence, and Secondary Materials” (</w:t>
      </w:r>
      <w:r w:rsidR="007B17FD">
        <w:t xml:space="preserve">p. </w:t>
      </w:r>
      <w:r>
        <w:t xml:space="preserve">E-4). However, if you are using a blend of APA Style and </w:t>
      </w:r>
      <w:r w:rsidRPr="00265BDA">
        <w:rPr>
          <w:i/>
        </w:rPr>
        <w:t>McGill Guide</w:t>
      </w:r>
      <w:r>
        <w:t xml:space="preserve"> rules, </w:t>
      </w:r>
      <w:r w:rsidR="00265BDA">
        <w:t>breaking the references into sections may not be desirable. Please check with your instructor to find out his or her preference; if you have a significant number of legal citations, it may be appropriate to break the references into sections, but the APA Style rules do not require the division.</w:t>
      </w:r>
      <w:r w:rsidR="007B17FD">
        <w:t xml:space="preserve"> Regardless of whether you are dividing the references or not, the entries for both types of entries should be listed in alphabetical order (American Psychological Association, 2010, p. 181; McGill Law Journal, 2014, p. E-4). </w:t>
      </w:r>
      <w:r w:rsidR="005B3043">
        <w:t>Order l</w:t>
      </w:r>
      <w:r w:rsidR="007B17FD">
        <w:t>egislatio</w:t>
      </w:r>
      <w:r w:rsidR="005B3043">
        <w:t>n by title and jurisprudence (e.g., cases) by “style of cause” (McGill Law Journal, 2014, p. E-4). Each entry should have a hanging indent (p. E-4), similar to the formatting expected in APA Style</w:t>
      </w:r>
      <w:r w:rsidR="0074392A">
        <w:t xml:space="preserve"> (American Psychological Association, 2010, p. 180). The </w:t>
      </w:r>
      <w:r w:rsidR="0074392A" w:rsidRPr="0074392A">
        <w:rPr>
          <w:i/>
        </w:rPr>
        <w:t>McGill Guide</w:t>
      </w:r>
      <w:r w:rsidR="0074392A">
        <w:rPr>
          <w:i/>
        </w:rPr>
        <w:t xml:space="preserve"> </w:t>
      </w:r>
      <w:r w:rsidR="0074392A">
        <w:t>(2014) does not specify the required line-spacing within a bibliography, but the APA Style rules require double-spacing (American Psychological Association, 2010, p. 180), so if you’re combining legal references with other types of references, use double-spacing throughout the references.</w:t>
      </w:r>
    </w:p>
    <w:p w:rsidR="00CC3C82" w:rsidRDefault="00CC3C82" w:rsidP="009C5A1B">
      <w:pPr>
        <w:pStyle w:val="Heading1"/>
      </w:pPr>
      <w:bookmarkStart w:id="3" w:name="_Toc401825594"/>
      <w:r>
        <w:t xml:space="preserve">Memorandum and </w:t>
      </w:r>
      <w:proofErr w:type="spellStart"/>
      <w:r>
        <w:t>Facta</w:t>
      </w:r>
      <w:bookmarkEnd w:id="3"/>
      <w:proofErr w:type="spellEnd"/>
    </w:p>
    <w:p w:rsidR="00CC3C82" w:rsidRDefault="00CC3C82" w:rsidP="009C5A1B">
      <w:pPr>
        <w:spacing w:after="0" w:line="480" w:lineRule="auto"/>
      </w:pPr>
      <w:r>
        <w:tab/>
        <w:t xml:space="preserve">In the unlikely event that you </w:t>
      </w:r>
      <w:r w:rsidR="00AE227F">
        <w:t xml:space="preserve">are asked to </w:t>
      </w:r>
      <w:r>
        <w:t xml:space="preserve">write a legal memorandum or </w:t>
      </w:r>
      <w:proofErr w:type="spellStart"/>
      <w:r>
        <w:t>facta</w:t>
      </w:r>
      <w:proofErr w:type="spellEnd"/>
      <w:r>
        <w:t xml:space="preserve"> during your RRU program, please note that legal citations in these two types of documents are placed parenthetically in the text. </w:t>
      </w:r>
      <w:r w:rsidR="00AE227F">
        <w:t xml:space="preserve">See pages E-5 and E-6 in the </w:t>
      </w:r>
      <w:r w:rsidR="00AE227F" w:rsidRPr="00AE227F">
        <w:rPr>
          <w:i/>
        </w:rPr>
        <w:t>McGill Guide</w:t>
      </w:r>
      <w:r w:rsidR="00AE227F">
        <w:t xml:space="preserve"> (2014) for more information.</w:t>
      </w:r>
    </w:p>
    <w:p w:rsidR="00AE227F" w:rsidRDefault="00AE227F" w:rsidP="009C5A1B">
      <w:pPr>
        <w:pStyle w:val="Heading1"/>
      </w:pPr>
      <w:bookmarkStart w:id="4" w:name="_Toc401825595"/>
      <w:r>
        <w:t>Footnotes</w:t>
      </w:r>
      <w:bookmarkEnd w:id="4"/>
    </w:p>
    <w:p w:rsidR="00AE227F" w:rsidRDefault="00AE227F" w:rsidP="009C5A1B">
      <w:pPr>
        <w:spacing w:after="0" w:line="480" w:lineRule="auto"/>
      </w:pPr>
      <w:r>
        <w:tab/>
        <w:t xml:space="preserve">One of the key differences in legal citation to the APA Style rules is that </w:t>
      </w:r>
      <w:r w:rsidR="0095180B">
        <w:t>legal writing</w:t>
      </w:r>
      <w:r>
        <w:t xml:space="preserve"> </w:t>
      </w:r>
      <w:r w:rsidR="0095180B">
        <w:t>(</w:t>
      </w:r>
      <w:r>
        <w:t>e</w:t>
      </w:r>
      <w:r w:rsidR="0095180B">
        <w:t xml:space="preserve">xcept for those in a legal memorandum or </w:t>
      </w:r>
      <w:proofErr w:type="spellStart"/>
      <w:r w:rsidR="0095180B">
        <w:t>facta</w:t>
      </w:r>
      <w:proofErr w:type="spellEnd"/>
      <w:r w:rsidR="0095180B">
        <w:t xml:space="preserve">) uses footnotes (McGill Law Society, 2014, p. </w:t>
      </w:r>
      <w:r w:rsidR="0095180B">
        <w:lastRenderedPageBreak/>
        <w:t>E-6). There are two types of footnotes</w:t>
      </w:r>
      <w:r w:rsidR="0096577D">
        <w:t>: “</w:t>
      </w:r>
      <w:r w:rsidR="0095180B" w:rsidRPr="0096577D">
        <w:rPr>
          <w:b/>
        </w:rPr>
        <w:t>Textual footnotes</w:t>
      </w:r>
      <w:r w:rsidR="0095180B">
        <w:t xml:space="preserve"> contain peripheral information that is relevant but would detract from the thrust of the argument if placed in the main text” (p. E-6)</w:t>
      </w:r>
      <w:r w:rsidR="0096577D">
        <w:t>, whereas “</w:t>
      </w:r>
      <w:r w:rsidR="0096577D" w:rsidRPr="0096577D">
        <w:rPr>
          <w:b/>
        </w:rPr>
        <w:t>citation footnotes</w:t>
      </w:r>
      <w:r w:rsidR="0096577D">
        <w:t xml:space="preserve"> </w:t>
      </w:r>
      <w:r w:rsidR="0095180B">
        <w:t>indicate the source from which an argument or quotation has been drawn” (p. E-6).</w:t>
      </w:r>
      <w:r w:rsidR="004457DA">
        <w:t xml:space="preserve"> </w:t>
      </w:r>
      <w:r w:rsidR="00514593">
        <w:t>The APA Style rul</w:t>
      </w:r>
      <w:r w:rsidR="004509C5">
        <w:t>es discourage the use of textual footnotes (or “content</w:t>
      </w:r>
      <w:r w:rsidR="00514593">
        <w:t xml:space="preserve"> </w:t>
      </w:r>
      <w:r w:rsidR="004509C5">
        <w:t>footnotes” (American Psychological Association, 2010, p. 38)), noting that “an author integrates an article best by presenting important information in the text, not in a footnote” (p. 39). With that in mind, the information that follows relates to citation footnotes only; if you want to use textual/content footnotes in your essay, please check with your instructor to ensure the formatting will be acceptable.</w:t>
      </w:r>
    </w:p>
    <w:p w:rsidR="004509C5" w:rsidRDefault="004509C5" w:rsidP="009C5A1B">
      <w:pPr>
        <w:spacing w:after="0" w:line="480" w:lineRule="auto"/>
      </w:pPr>
      <w:r>
        <w:tab/>
        <w:t xml:space="preserve">According to the </w:t>
      </w:r>
      <w:r w:rsidRPr="007B03D5">
        <w:rPr>
          <w:i/>
        </w:rPr>
        <w:t>McGill Guide</w:t>
      </w:r>
      <w:r>
        <w:t xml:space="preserve"> (2014), citation footnotes are required “(1) at the first reference to the source; (2) at every subsequent quotation from the source; and (3) at every subsequent reference or allusion to a particular passage in the source” (p. E-6). </w:t>
      </w:r>
      <w:r w:rsidR="007B03D5">
        <w:t xml:space="preserve">When citing legal materials, the first citation to a source should be a full citation; subsequent citations within the document to that source can use a shortened form. See </w:t>
      </w:r>
      <w:hyperlink w:anchor="_Prior_and_Subsequent" w:history="1">
        <w:r w:rsidR="00F0662F" w:rsidRPr="00F0662F">
          <w:rPr>
            <w:rStyle w:val="Hyperlink"/>
          </w:rPr>
          <w:t>Prior and Subsequent Citations</w:t>
        </w:r>
      </w:hyperlink>
      <w:r w:rsidR="007B03D5">
        <w:t xml:space="preserve"> for information.</w:t>
      </w:r>
    </w:p>
    <w:p w:rsidR="007B03D5" w:rsidRDefault="007B03D5" w:rsidP="009C5A1B">
      <w:pPr>
        <w:pStyle w:val="Heading2"/>
      </w:pPr>
      <w:bookmarkStart w:id="5" w:name="_Toc401825596"/>
      <w:r>
        <w:t>Placement of Footnote</w:t>
      </w:r>
      <w:bookmarkEnd w:id="5"/>
    </w:p>
    <w:p w:rsidR="00AC29CE" w:rsidRDefault="00D631B4" w:rsidP="009C5A1B">
      <w:pPr>
        <w:spacing w:after="0" w:line="480" w:lineRule="auto"/>
      </w:pPr>
      <w:r>
        <w:tab/>
        <w:t>Use your word processor’s (e.g., Microsoft Word) built in function to insert a footnote. For example:</w:t>
      </w:r>
    </w:p>
    <w:p w:rsidR="0063145C" w:rsidRDefault="0063145C" w:rsidP="009C5A1B">
      <w:pPr>
        <w:spacing w:after="0" w:line="480" w:lineRule="auto"/>
        <w:jc w:val="center"/>
      </w:pPr>
      <w:r>
        <w:rPr>
          <w:noProof/>
          <w:lang w:eastAsia="en-CA"/>
        </w:rPr>
        <w:drawing>
          <wp:inline distT="0" distB="0" distL="0" distR="0" wp14:anchorId="1F8BD0C4" wp14:editId="51D4C093">
            <wp:extent cx="4914900" cy="13335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footno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333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29CE" w:rsidRDefault="00AC29CE" w:rsidP="009C5A1B">
      <w:pPr>
        <w:spacing w:after="0" w:line="480" w:lineRule="auto"/>
      </w:pPr>
      <w:r>
        <w:lastRenderedPageBreak/>
        <w:t>The word processing program should automatically insert the note number at the cursor, as well as insert a horizontal line in the footer and the corresponding note number. The text in the footer will also be a smaller version of the font you are using within the text</w:t>
      </w:r>
      <w:r>
        <w:rPr>
          <w:rStyle w:val="FootnoteReference"/>
        </w:rPr>
        <w:footnoteReference w:id="1"/>
      </w:r>
      <w:r>
        <w:t>. If you are using Times New Roman 12</w:t>
      </w:r>
      <w:r w:rsidR="004530DC">
        <w:t xml:space="preserve">-point font </w:t>
      </w:r>
      <w:r>
        <w:t>in your text</w:t>
      </w:r>
      <w:r w:rsidR="0051055F">
        <w:t xml:space="preserve">, which is the </w:t>
      </w:r>
      <w:r w:rsidR="004530DC">
        <w:t>preferred</w:t>
      </w:r>
      <w:r w:rsidR="0051055F">
        <w:t xml:space="preserve"> </w:t>
      </w:r>
      <w:r w:rsidR="004530DC">
        <w:t>typeface</w:t>
      </w:r>
      <w:r w:rsidR="0051055F">
        <w:t xml:space="preserve"> for APA Style (</w:t>
      </w:r>
      <w:r w:rsidR="004530DC">
        <w:t>American Psychological Association, 2010, p. 228)</w:t>
      </w:r>
      <w:r>
        <w:t>, Word should automatically format the footnote text to Times New Roman 10</w:t>
      </w:r>
      <w:r w:rsidR="004530DC">
        <w:t>-point font</w:t>
      </w:r>
      <w:r w:rsidR="0051055F">
        <w:t xml:space="preserve">. </w:t>
      </w:r>
    </w:p>
    <w:p w:rsidR="00596652" w:rsidRDefault="00596652" w:rsidP="009C5A1B">
      <w:pPr>
        <w:spacing w:after="0" w:line="480" w:lineRule="auto"/>
        <w:ind w:firstLine="720"/>
      </w:pPr>
      <w:r>
        <w:t xml:space="preserve">The </w:t>
      </w:r>
      <w:r w:rsidRPr="009928F9">
        <w:rPr>
          <w:i/>
        </w:rPr>
        <w:t>McGill Guide</w:t>
      </w:r>
      <w:r>
        <w:t xml:space="preserve"> (2014) provides the following direction on the placement of footnote numbers:</w:t>
      </w:r>
    </w:p>
    <w:p w:rsidR="00596652" w:rsidRDefault="00343F96" w:rsidP="009C5A1B">
      <w:pPr>
        <w:pStyle w:val="ListParagraph"/>
        <w:numPr>
          <w:ilvl w:val="0"/>
          <w:numId w:val="1"/>
        </w:numPr>
        <w:spacing w:after="0" w:line="480" w:lineRule="auto"/>
      </w:pPr>
      <w:r>
        <w:t>“</w:t>
      </w:r>
      <w:r w:rsidR="00596652">
        <w:t>At the end of a sentence, after the punctuation</w:t>
      </w:r>
      <w:r>
        <w:t>”</w:t>
      </w:r>
      <w:r w:rsidR="00596652">
        <w:t>.</w:t>
      </w:r>
      <w:r w:rsidR="003E3441" w:rsidRPr="003E3441">
        <w:rPr>
          <w:b/>
          <w:vertAlign w:val="superscript"/>
        </w:rPr>
        <w:t>1</w:t>
      </w:r>
      <w:r w:rsidR="009928F9">
        <w:t xml:space="preserve"> (p. E-6)</w:t>
      </w:r>
    </w:p>
    <w:p w:rsidR="00596652" w:rsidRDefault="0096577D" w:rsidP="009C5A1B">
      <w:pPr>
        <w:pStyle w:val="ListParagraph"/>
        <w:numPr>
          <w:ilvl w:val="0"/>
          <w:numId w:val="1"/>
        </w:numPr>
        <w:spacing w:after="0" w:line="480" w:lineRule="auto"/>
      </w:pPr>
      <w:r>
        <w:t>Place the note number immediately after a cited word</w:t>
      </w:r>
      <w:r w:rsidR="003E3441" w:rsidRPr="003E3441">
        <w:rPr>
          <w:b/>
          <w:vertAlign w:val="superscript"/>
        </w:rPr>
        <w:t>2</w:t>
      </w:r>
      <w:r>
        <w:t xml:space="preserve"> (versus a cited phrase or sentence)</w:t>
      </w:r>
      <w:r w:rsidR="00557214">
        <w:t>.</w:t>
      </w:r>
      <w:r w:rsidR="009928F9">
        <w:t xml:space="preserve"> (p. E-6)</w:t>
      </w:r>
    </w:p>
    <w:p w:rsidR="00557214" w:rsidRDefault="00557214" w:rsidP="009C5A1B">
      <w:pPr>
        <w:pStyle w:val="ListParagraph"/>
        <w:numPr>
          <w:ilvl w:val="0"/>
          <w:numId w:val="1"/>
        </w:numPr>
        <w:spacing w:after="0" w:line="480" w:lineRule="auto"/>
      </w:pPr>
      <w:r>
        <w:t>“When quoting a source, place the footnote number ‘after the quotation marks’</w:t>
      </w:r>
      <w:r w:rsidR="003E3441" w:rsidRPr="003E3441">
        <w:rPr>
          <w:b/>
          <w:vertAlign w:val="superscript"/>
        </w:rPr>
        <w:t>2</w:t>
      </w:r>
      <w:r>
        <w:t xml:space="preserve"> and, ‘where applicable, the punctuation’.</w:t>
      </w:r>
      <w:r w:rsidR="003E3441" w:rsidRPr="003E3441">
        <w:rPr>
          <w:b/>
          <w:vertAlign w:val="superscript"/>
        </w:rPr>
        <w:t>3</w:t>
      </w:r>
      <w:r>
        <w:t xml:space="preserve"> (p. E-6)</w:t>
      </w:r>
    </w:p>
    <w:p w:rsidR="00557214" w:rsidRDefault="00557214" w:rsidP="009C5A1B">
      <w:pPr>
        <w:spacing w:after="0" w:line="480" w:lineRule="auto"/>
      </w:pPr>
      <w:r>
        <w:t xml:space="preserve">Rather than providing more than one footnote in one point in the text, </w:t>
      </w:r>
      <w:r w:rsidR="00F03B44">
        <w:t>“</w:t>
      </w:r>
      <w:r>
        <w:t xml:space="preserve">combine the supporting citations into one footnote. </w:t>
      </w:r>
      <w:r w:rsidRPr="00343F96">
        <w:rPr>
          <w:b/>
        </w:rPr>
        <w:t>Separate different citations in a footnote with a semicolon</w:t>
      </w:r>
      <w:r>
        <w:t xml:space="preserve">, and end the </w:t>
      </w:r>
      <w:r w:rsidR="00F03B44">
        <w:t xml:space="preserve">footnote with a period” (p. E-7). See </w:t>
      </w:r>
      <w:r w:rsidR="003E3441">
        <w:t xml:space="preserve">sample </w:t>
      </w:r>
      <w:r w:rsidR="00F03B44">
        <w:t>footnote below, which can be found on page E-7 of the McGill Guide.</w:t>
      </w:r>
      <w:r w:rsidR="00F03B44">
        <w:rPr>
          <w:rStyle w:val="FootnoteReference"/>
        </w:rPr>
        <w:footnoteReference w:id="2"/>
      </w:r>
    </w:p>
    <w:p w:rsidR="00074B7D" w:rsidRDefault="00300DA4" w:rsidP="009C5A1B">
      <w:pPr>
        <w:pStyle w:val="Heading1"/>
      </w:pPr>
      <w:bookmarkStart w:id="6" w:name="_Prior_and_Subsequent"/>
      <w:bookmarkStart w:id="7" w:name="Priorandsubsequentcitations"/>
      <w:bookmarkStart w:id="8" w:name="_Toc401825597"/>
      <w:bookmarkEnd w:id="6"/>
      <w:r>
        <w:t>Prior and Subsequent Citations</w:t>
      </w:r>
      <w:bookmarkEnd w:id="7"/>
      <w:bookmarkEnd w:id="8"/>
    </w:p>
    <w:p w:rsidR="00300DA4" w:rsidRDefault="00300DA4" w:rsidP="009C5A1B">
      <w:pPr>
        <w:spacing w:after="0" w:line="480" w:lineRule="auto"/>
      </w:pPr>
      <w:r>
        <w:tab/>
        <w:t xml:space="preserve">The </w:t>
      </w:r>
      <w:r w:rsidRPr="009928F9">
        <w:rPr>
          <w:i/>
        </w:rPr>
        <w:t>McGill Guide</w:t>
      </w:r>
      <w:r>
        <w:t xml:space="preserve"> (2014) allows for a shortened form of citation in subsequent footnotes after the first full citation (p. E-9). The shortened citations “refer back to this initial citation” (</w:t>
      </w:r>
      <w:r w:rsidR="009928F9">
        <w:t xml:space="preserve">McGill Law Journal, 2014, </w:t>
      </w:r>
      <w:r>
        <w:t>p. E-9).</w:t>
      </w:r>
    </w:p>
    <w:p w:rsidR="003C05D9" w:rsidRDefault="004F4722" w:rsidP="009C5A1B">
      <w:pPr>
        <w:pStyle w:val="Heading2"/>
      </w:pPr>
      <w:bookmarkStart w:id="9" w:name="_Toc401825598"/>
      <w:r>
        <w:lastRenderedPageBreak/>
        <w:t>Short F</w:t>
      </w:r>
      <w:r w:rsidR="003C05D9">
        <w:t>orm: General Rules</w:t>
      </w:r>
      <w:bookmarkEnd w:id="9"/>
    </w:p>
    <w:p w:rsidR="00D45BD3" w:rsidRDefault="003C05D9" w:rsidP="009C5A1B">
      <w:pPr>
        <w:pStyle w:val="ListParagraph"/>
        <w:numPr>
          <w:ilvl w:val="0"/>
          <w:numId w:val="2"/>
        </w:numPr>
        <w:spacing w:after="0" w:line="480" w:lineRule="auto"/>
      </w:pPr>
      <w:r>
        <w:t>“Do not create a short title if there is no further reference to the source in the work” (</w:t>
      </w:r>
      <w:r w:rsidR="00CA6266">
        <w:t xml:space="preserve">McGill Law Journal, 2014, </w:t>
      </w:r>
      <w:r>
        <w:t>p. E-9).</w:t>
      </w:r>
    </w:p>
    <w:p w:rsidR="003C05D9" w:rsidRDefault="003C05D9" w:rsidP="009C5A1B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“If the title of a source is short (around three words or less), the full title may be used in all subsequent references. . . . </w:t>
      </w:r>
      <w:r w:rsidR="009F44B5">
        <w:t>If the title of a source is longer, create a short title for subsequent references” (p. E-9).</w:t>
      </w:r>
    </w:p>
    <w:p w:rsidR="009F44B5" w:rsidRDefault="009F44B5" w:rsidP="009C5A1B">
      <w:pPr>
        <w:pStyle w:val="ListParagraph"/>
        <w:numPr>
          <w:ilvl w:val="0"/>
          <w:numId w:val="2"/>
        </w:numPr>
        <w:spacing w:after="0" w:line="480" w:lineRule="auto"/>
      </w:pPr>
      <w:r>
        <w:t>“Place the short title in brackets directly after the citation but before any parenthetical information…and case history. …Do not italicize the brackets” (p. E-</w:t>
      </w:r>
      <w:r w:rsidR="00EF5D32">
        <w:t>10</w:t>
      </w:r>
      <w:r>
        <w:t>).</w:t>
      </w:r>
    </w:p>
    <w:p w:rsidR="009F44B5" w:rsidRDefault="009F44B5" w:rsidP="009C5A1B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“Always italicize the short title for cases or legislation (e.g., </w:t>
      </w:r>
      <w:r w:rsidRPr="00343F96">
        <w:rPr>
          <w:b/>
          <w:i/>
        </w:rPr>
        <w:t>Charter</w:t>
      </w:r>
      <w:r>
        <w:t xml:space="preserve">). Abbreviations of codes such as </w:t>
      </w:r>
      <w:r w:rsidRPr="00343F96">
        <w:rPr>
          <w:b/>
        </w:rPr>
        <w:t>CCQ</w:t>
      </w:r>
      <w:r>
        <w:t xml:space="preserve"> are not considered short forms, and thus should not be italicized” (p. E-10).</w:t>
      </w:r>
    </w:p>
    <w:p w:rsidR="00343F96" w:rsidRDefault="00343F96" w:rsidP="009C5A1B">
      <w:pPr>
        <w:pStyle w:val="ListParagraph"/>
        <w:numPr>
          <w:ilvl w:val="0"/>
          <w:numId w:val="2"/>
        </w:numPr>
        <w:spacing w:after="0" w:line="480" w:lineRule="auto"/>
      </w:pPr>
      <w:r>
        <w:t>“In subsequent footnotes, use the appropriate cross-referencing signals (</w:t>
      </w:r>
      <w:r w:rsidRPr="00343F96">
        <w:rPr>
          <w:b/>
          <w:i/>
        </w:rPr>
        <w:t>supra</w:t>
      </w:r>
      <w:r>
        <w:t xml:space="preserve">, </w:t>
      </w:r>
      <w:r w:rsidRPr="00343F96">
        <w:rPr>
          <w:b/>
          <w:i/>
        </w:rPr>
        <w:t>ibid</w:t>
      </w:r>
      <w:r>
        <w:t>) and, where appropriate, the short title to direct the reader back to the footnote containing the full citation” (p. E-10).</w:t>
      </w:r>
    </w:p>
    <w:p w:rsidR="00D35DAD" w:rsidRDefault="00D35DAD" w:rsidP="009C5A1B">
      <w:pPr>
        <w:spacing w:after="0" w:line="480" w:lineRule="auto"/>
      </w:pPr>
      <w:r>
        <w:t xml:space="preserve">There are examples of full and shortened citations on pages E-9 of the </w:t>
      </w:r>
      <w:r w:rsidRPr="00D35DAD">
        <w:rPr>
          <w:i/>
        </w:rPr>
        <w:t>McGill Guide</w:t>
      </w:r>
      <w:r>
        <w:rPr>
          <w:i/>
        </w:rPr>
        <w:t xml:space="preserve">; </w:t>
      </w:r>
      <w:r>
        <w:t>please see below for a few of those examples:</w:t>
      </w:r>
    </w:p>
    <w:p w:rsidR="00D35DAD" w:rsidRDefault="00D35DAD" w:rsidP="009C5A1B">
      <w:pPr>
        <w:spacing w:after="0" w:line="480" w:lineRule="auto"/>
      </w:pPr>
      <w:r w:rsidRPr="00D35DAD">
        <w:rPr>
          <w:vertAlign w:val="superscript"/>
        </w:rPr>
        <w:t>1</w:t>
      </w:r>
      <w:r>
        <w:t xml:space="preserve"> </w:t>
      </w:r>
      <w:proofErr w:type="spellStart"/>
      <w:r w:rsidRPr="006F1C8F">
        <w:rPr>
          <w:i/>
        </w:rPr>
        <w:t>Kadlak</w:t>
      </w:r>
      <w:proofErr w:type="spellEnd"/>
      <w:r w:rsidRPr="006F1C8F">
        <w:rPr>
          <w:i/>
        </w:rPr>
        <w:t xml:space="preserve"> v Nunavut (Minister of Sustainable Development)</w:t>
      </w:r>
      <w:r>
        <w:t xml:space="preserve">, 2001 NUCJ 1, [2001] 6 WWR 276 </w:t>
      </w:r>
      <w:r w:rsidRPr="00D96AFA">
        <w:rPr>
          <w:b/>
        </w:rPr>
        <w:t>[</w:t>
      </w:r>
      <w:proofErr w:type="spellStart"/>
      <w:r w:rsidRPr="00D96AFA">
        <w:rPr>
          <w:b/>
        </w:rPr>
        <w:t>Kadlak</w:t>
      </w:r>
      <w:proofErr w:type="spellEnd"/>
      <w:r w:rsidRPr="00D96AFA">
        <w:rPr>
          <w:b/>
        </w:rPr>
        <w:t>]</w:t>
      </w:r>
      <w:r>
        <w:t>.</w:t>
      </w:r>
    </w:p>
    <w:p w:rsidR="00D35DAD" w:rsidRDefault="00D35DAD" w:rsidP="009C5A1B">
      <w:pPr>
        <w:spacing w:after="0" w:line="480" w:lineRule="auto"/>
      </w:pPr>
      <w:r w:rsidRPr="006F1C8F">
        <w:rPr>
          <w:vertAlign w:val="superscript"/>
        </w:rPr>
        <w:t>2</w:t>
      </w:r>
      <w:r>
        <w:t xml:space="preserve"> </w:t>
      </w:r>
      <w:proofErr w:type="spellStart"/>
      <w:r w:rsidR="006F1C8F">
        <w:rPr>
          <w:i/>
        </w:rPr>
        <w:t>Kadlak</w:t>
      </w:r>
      <w:proofErr w:type="spellEnd"/>
      <w:r w:rsidR="006F1C8F">
        <w:t xml:space="preserve">, </w:t>
      </w:r>
      <w:r w:rsidR="006F1C8F" w:rsidRPr="006F1C8F">
        <w:rPr>
          <w:i/>
        </w:rPr>
        <w:t>supra</w:t>
      </w:r>
      <w:r w:rsidR="006F1C8F">
        <w:t xml:space="preserve"> note 1 at para 15.</w:t>
      </w:r>
    </w:p>
    <w:p w:rsidR="006F1C8F" w:rsidRDefault="006F1C8F" w:rsidP="009C5A1B">
      <w:pPr>
        <w:spacing w:after="0" w:line="480" w:lineRule="auto"/>
      </w:pPr>
      <w:r w:rsidRPr="006F1C8F">
        <w:rPr>
          <w:vertAlign w:val="superscript"/>
        </w:rPr>
        <w:t>7</w:t>
      </w:r>
      <w:r>
        <w:t xml:space="preserve"> </w:t>
      </w:r>
      <w:r>
        <w:rPr>
          <w:i/>
        </w:rPr>
        <w:t>R v W (R),</w:t>
      </w:r>
      <w:r w:rsidR="00EF5D32">
        <w:t xml:space="preserve"> [1992] 2 SCR 1</w:t>
      </w:r>
      <w:r>
        <w:t>22 at para 1, 74 CCC (3d) 134.</w:t>
      </w:r>
    </w:p>
    <w:p w:rsidR="006F1C8F" w:rsidRPr="006F1C8F" w:rsidRDefault="006F1C8F" w:rsidP="009C5A1B">
      <w:pPr>
        <w:spacing w:after="0" w:line="480" w:lineRule="auto"/>
      </w:pPr>
      <w:r w:rsidRPr="006F1C8F">
        <w:rPr>
          <w:vertAlign w:val="superscript"/>
        </w:rPr>
        <w:t>10</w:t>
      </w:r>
      <w:r>
        <w:t xml:space="preserve"> </w:t>
      </w:r>
      <w:r>
        <w:rPr>
          <w:i/>
        </w:rPr>
        <w:t>R v W (R), supra</w:t>
      </w:r>
      <w:r>
        <w:t xml:space="preserve"> note 7 at para 3.</w:t>
      </w:r>
      <w:r>
        <w:rPr>
          <w:i/>
        </w:rPr>
        <w:t xml:space="preserve"> </w:t>
      </w:r>
    </w:p>
    <w:p w:rsidR="009F44B5" w:rsidRDefault="004F4722" w:rsidP="009C5A1B">
      <w:pPr>
        <w:pStyle w:val="Heading2"/>
      </w:pPr>
      <w:bookmarkStart w:id="10" w:name="_Toc401825599"/>
      <w:r>
        <w:lastRenderedPageBreak/>
        <w:t>Short Form: Legislation</w:t>
      </w:r>
      <w:bookmarkEnd w:id="10"/>
    </w:p>
    <w:p w:rsidR="00941947" w:rsidRDefault="006F1C8F" w:rsidP="009C5A1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“If a statute has an </w:t>
      </w:r>
      <w:r w:rsidRPr="00D96AFA">
        <w:rPr>
          <w:b/>
        </w:rPr>
        <w:t>official short title</w:t>
      </w:r>
      <w:r>
        <w:t xml:space="preserve">, use only this short title in the initial citation. If the short title is brief, it may also be used in subsequent citations (e.g., </w:t>
      </w:r>
      <w:r w:rsidRPr="00D96AFA">
        <w:rPr>
          <w:b/>
          <w:i/>
        </w:rPr>
        <w:t>Museums Act</w:t>
      </w:r>
      <w:r>
        <w:t>)” (</w:t>
      </w:r>
      <w:r w:rsidR="00CA6266">
        <w:t xml:space="preserve">McGill Law Journal, 2014, </w:t>
      </w:r>
      <w:r w:rsidR="00D45BD3">
        <w:t>p. E-10)</w:t>
      </w:r>
      <w:r w:rsidR="00CA6266">
        <w:t>.</w:t>
      </w:r>
    </w:p>
    <w:p w:rsidR="00D45BD3" w:rsidRDefault="00D45BD3" w:rsidP="009C5A1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“If a statute has </w:t>
      </w:r>
      <w:r w:rsidRPr="00D96AFA">
        <w:rPr>
          <w:b/>
        </w:rPr>
        <w:t>no official short title</w:t>
      </w:r>
      <w:r>
        <w:t>, or the official short title is too long for subsequent references, create a distinctive short title and indicate it in brackets at the end of the citation” (p. E-10)</w:t>
      </w:r>
      <w:r w:rsidR="00CA6266">
        <w:t>.</w:t>
      </w:r>
    </w:p>
    <w:p w:rsidR="00D45BD3" w:rsidRDefault="00D45BD3" w:rsidP="009C5A1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“Well-recognized abbreviations may also be used (e.g., </w:t>
      </w:r>
      <w:r w:rsidRPr="00D96AFA">
        <w:rPr>
          <w:b/>
          <w:i/>
        </w:rPr>
        <w:t>CBCA</w:t>
      </w:r>
      <w:r>
        <w:t>)” (p. E-10).</w:t>
      </w:r>
    </w:p>
    <w:p w:rsidR="00BB5A8A" w:rsidRDefault="00BB5A8A" w:rsidP="009C5A1B">
      <w:pPr>
        <w:spacing w:after="0" w:line="480" w:lineRule="auto"/>
      </w:pPr>
      <w:r>
        <w:t xml:space="preserve">There are examples of full and shortened citations on page E-10 of the </w:t>
      </w:r>
      <w:r w:rsidRPr="00BB5A8A">
        <w:rPr>
          <w:i/>
        </w:rPr>
        <w:t xml:space="preserve">McGill Guide; </w:t>
      </w:r>
      <w:r>
        <w:t>please see below for a few of those examples:</w:t>
      </w:r>
    </w:p>
    <w:p w:rsidR="00BB5A8A" w:rsidRDefault="00BB5A8A" w:rsidP="009C5A1B">
      <w:pPr>
        <w:spacing w:after="0" w:line="480" w:lineRule="auto"/>
      </w:pPr>
      <w:r w:rsidRPr="00BB5A8A">
        <w:rPr>
          <w:vertAlign w:val="superscript"/>
        </w:rPr>
        <w:t>1</w:t>
      </w:r>
      <w:r>
        <w:t xml:space="preserve"> </w:t>
      </w:r>
      <w:r w:rsidRPr="00EF5D32">
        <w:rPr>
          <w:b/>
          <w:i/>
        </w:rPr>
        <w:t>Museums Act</w:t>
      </w:r>
      <w:r>
        <w:t>, SC 1990, c 3.</w:t>
      </w:r>
    </w:p>
    <w:p w:rsidR="00BB5A8A" w:rsidRDefault="002F582E" w:rsidP="009C5A1B">
      <w:pPr>
        <w:spacing w:after="0" w:line="480" w:lineRule="auto"/>
      </w:pPr>
      <w:r w:rsidRPr="002F582E">
        <w:rPr>
          <w:vertAlign w:val="superscript"/>
        </w:rPr>
        <w:t>2</w:t>
      </w:r>
      <w:r>
        <w:t xml:space="preserve"> </w:t>
      </w:r>
      <w:proofErr w:type="spellStart"/>
      <w:r w:rsidRPr="002F582E">
        <w:rPr>
          <w:i/>
        </w:rPr>
        <w:t>Nordion</w:t>
      </w:r>
      <w:proofErr w:type="spellEnd"/>
      <w:r w:rsidRPr="002F582E">
        <w:rPr>
          <w:i/>
        </w:rPr>
        <w:t xml:space="preserve"> and </w:t>
      </w:r>
      <w:proofErr w:type="spellStart"/>
      <w:r w:rsidRPr="002F582E">
        <w:rPr>
          <w:i/>
        </w:rPr>
        <w:t>Theratronics</w:t>
      </w:r>
      <w:proofErr w:type="spellEnd"/>
      <w:r w:rsidRPr="002F582E">
        <w:rPr>
          <w:i/>
        </w:rPr>
        <w:t xml:space="preserve"> Divestiture Authorization Act</w:t>
      </w:r>
      <w:r>
        <w:t>, SC 1990, c 4 [</w:t>
      </w:r>
      <w:proofErr w:type="spellStart"/>
      <w:r w:rsidRPr="00EF5D32">
        <w:rPr>
          <w:b/>
          <w:i/>
        </w:rPr>
        <w:t>Nordion</w:t>
      </w:r>
      <w:proofErr w:type="spellEnd"/>
      <w:r w:rsidRPr="00EF5D32">
        <w:rPr>
          <w:b/>
          <w:i/>
        </w:rPr>
        <w:t xml:space="preserve"> Act</w:t>
      </w:r>
      <w:r>
        <w:t>].</w:t>
      </w:r>
    </w:p>
    <w:p w:rsidR="00BB5A8A" w:rsidRDefault="002F582E" w:rsidP="009C5A1B">
      <w:pPr>
        <w:spacing w:after="0" w:line="480" w:lineRule="auto"/>
      </w:pPr>
      <w:r w:rsidRPr="002F582E">
        <w:rPr>
          <w:vertAlign w:val="superscript"/>
        </w:rPr>
        <w:t>4</w:t>
      </w:r>
      <w:r>
        <w:t xml:space="preserve"> </w:t>
      </w:r>
      <w:r w:rsidRPr="002F582E">
        <w:rPr>
          <w:i/>
        </w:rPr>
        <w:t>Charter of the French Language</w:t>
      </w:r>
      <w:r>
        <w:t>, CQLR c C-11 [</w:t>
      </w:r>
      <w:r w:rsidRPr="00EF5D32">
        <w:rPr>
          <w:b/>
          <w:i/>
        </w:rPr>
        <w:t>Bill 101</w:t>
      </w:r>
      <w:r>
        <w:t>].</w:t>
      </w:r>
      <w:r w:rsidR="001763CD">
        <w:br/>
      </w:r>
      <w:r w:rsidRPr="00A543D6">
        <w:rPr>
          <w:rStyle w:val="Heading2Char"/>
        </w:rPr>
        <w:t>Short Form: Cases</w:t>
      </w:r>
    </w:p>
    <w:p w:rsidR="00662721" w:rsidRDefault="002F582E" w:rsidP="009C5A1B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“Create a short form by choosing </w:t>
      </w:r>
      <w:r w:rsidRPr="002F582E">
        <w:rPr>
          <w:b/>
        </w:rPr>
        <w:t>one of the parties’ surnames or a distinctive part of the style of cause</w:t>
      </w:r>
      <w:r>
        <w:t xml:space="preserve"> (e.g., </w:t>
      </w:r>
      <w:r w:rsidRPr="00D96AFA">
        <w:rPr>
          <w:b/>
          <w:i/>
        </w:rPr>
        <w:t>PPL</w:t>
      </w:r>
      <w:r>
        <w:t>).</w:t>
      </w:r>
      <w:r w:rsidR="00662721">
        <w:t xml:space="preserve"> If appropriate, you may use other elements to identify the case” (</w:t>
      </w:r>
      <w:r w:rsidR="00CA6266">
        <w:t xml:space="preserve">McGill Law Journal, 2014, </w:t>
      </w:r>
      <w:r w:rsidR="00662721">
        <w:t>p. E-10).</w:t>
      </w:r>
    </w:p>
    <w:p w:rsidR="002F582E" w:rsidRDefault="00662721" w:rsidP="009C5A1B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“To eliminate confusion when there are multiple cases with the same name, use the date of the decision for clarity (e.g., </w:t>
      </w:r>
      <w:r w:rsidRPr="001763CD">
        <w:rPr>
          <w:b/>
          <w:i/>
        </w:rPr>
        <w:t>Morgentaler</w:t>
      </w:r>
      <w:r>
        <w:t xml:space="preserve"> 1993 [note that the date is in Roman type])</w:t>
      </w:r>
      <w:r w:rsidR="008E0D52">
        <w:t xml:space="preserve"> (p. E-10)</w:t>
      </w:r>
      <w:r>
        <w:t>.</w:t>
      </w:r>
    </w:p>
    <w:p w:rsidR="00662721" w:rsidRPr="002F582E" w:rsidRDefault="008E0D52" w:rsidP="009C5A1B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For more information regarding providing </w:t>
      </w:r>
      <w:hyperlink w:anchor="_Pinpoints" w:history="1">
        <w:r w:rsidRPr="00EF5D32">
          <w:rPr>
            <w:rStyle w:val="Hyperlink"/>
          </w:rPr>
          <w:t>pinpoint references</w:t>
        </w:r>
      </w:hyperlink>
      <w:r>
        <w:t xml:space="preserve"> in shortened citations to cases, please see page E-11 in the McGill Guide.</w:t>
      </w:r>
    </w:p>
    <w:p w:rsidR="00BB5A8A" w:rsidRDefault="008E0D52" w:rsidP="009C5A1B">
      <w:pPr>
        <w:pStyle w:val="Heading2"/>
        <w:rPr>
          <w:i/>
        </w:rPr>
      </w:pPr>
      <w:bookmarkStart w:id="11" w:name="_Toc401825600"/>
      <w:r w:rsidRPr="008E0D52">
        <w:rPr>
          <w:i/>
        </w:rPr>
        <w:lastRenderedPageBreak/>
        <w:t>Ibid</w:t>
      </w:r>
      <w:bookmarkEnd w:id="11"/>
    </w:p>
    <w:p w:rsidR="008E0D52" w:rsidRDefault="009928F9" w:rsidP="009C5A1B">
      <w:pPr>
        <w:spacing w:after="0" w:line="480" w:lineRule="auto"/>
      </w:pPr>
      <w:r>
        <w:tab/>
        <w:t xml:space="preserve">Authors can use </w:t>
      </w:r>
      <w:r>
        <w:rPr>
          <w:i/>
        </w:rPr>
        <w:t>ibid</w:t>
      </w:r>
      <w:r>
        <w:t xml:space="preserve">, which is “an abbreviation of the Latin word </w:t>
      </w:r>
      <w:r>
        <w:rPr>
          <w:i/>
        </w:rPr>
        <w:t>ibidem</w:t>
      </w:r>
      <w:r>
        <w:t>, meaning ‘in the same place’” (</w:t>
      </w:r>
      <w:r w:rsidR="00CA6266">
        <w:t>McGill Law Journal, 2014, p. E-12)</w:t>
      </w:r>
      <w:r w:rsidR="001763CD">
        <w:t>,</w:t>
      </w:r>
      <w:r w:rsidR="00CA6266">
        <w:t xml:space="preserve"> in a citation to refer the reader to “the </w:t>
      </w:r>
      <w:r w:rsidR="00CA6266" w:rsidRPr="00EF41FC">
        <w:rPr>
          <w:b/>
        </w:rPr>
        <w:t>immediately preceding reference</w:t>
      </w:r>
      <w:r w:rsidR="00CA6266">
        <w:t xml:space="preserve">” (p. E-12). </w:t>
      </w:r>
      <w:r w:rsidR="006053D7">
        <w:t>P</w:t>
      </w:r>
      <w:r w:rsidR="00CA6266">
        <w:t>lease see below</w:t>
      </w:r>
      <w:r w:rsidR="006053D7">
        <w:t xml:space="preserve"> for three </w:t>
      </w:r>
      <w:r w:rsidR="00EF41FC">
        <w:t xml:space="preserve">sample footnotes </w:t>
      </w:r>
      <w:r w:rsidR="006053D7">
        <w:t xml:space="preserve">from page E-12 in the </w:t>
      </w:r>
      <w:r w:rsidR="006053D7" w:rsidRPr="006053D7">
        <w:rPr>
          <w:i/>
        </w:rPr>
        <w:t>McGill Guide</w:t>
      </w:r>
      <w:r w:rsidR="006053D7">
        <w:t>; please refer to that page for more examples</w:t>
      </w:r>
      <w:r w:rsidR="00CA6266">
        <w:t>.</w:t>
      </w:r>
    </w:p>
    <w:p w:rsidR="00A7518F" w:rsidRDefault="00A7518F" w:rsidP="009C5A1B">
      <w:pPr>
        <w:spacing w:after="0" w:line="480" w:lineRule="auto"/>
      </w:pPr>
      <w:r w:rsidRPr="006053D7">
        <w:rPr>
          <w:vertAlign w:val="superscript"/>
        </w:rPr>
        <w:t>3</w:t>
      </w:r>
      <w:r>
        <w:t xml:space="preserve"> </w:t>
      </w:r>
      <w:proofErr w:type="spellStart"/>
      <w:r w:rsidRPr="00A7518F">
        <w:rPr>
          <w:i/>
        </w:rPr>
        <w:t>Heustis</w:t>
      </w:r>
      <w:proofErr w:type="spellEnd"/>
      <w:r>
        <w:t xml:space="preserve">, </w:t>
      </w:r>
      <w:r w:rsidRPr="00A7518F">
        <w:rPr>
          <w:i/>
        </w:rPr>
        <w:t>supra</w:t>
      </w:r>
      <w:r>
        <w:t xml:space="preserve"> note 2 at 775.</w:t>
      </w:r>
    </w:p>
    <w:p w:rsidR="00A7518F" w:rsidRDefault="00A7518F" w:rsidP="009C5A1B">
      <w:pPr>
        <w:autoSpaceDE w:val="0"/>
        <w:autoSpaceDN w:val="0"/>
        <w:adjustRightInd w:val="0"/>
        <w:spacing w:after="0" w:line="480" w:lineRule="auto"/>
      </w:pPr>
      <w:r w:rsidRPr="006053D7">
        <w:rPr>
          <w:vertAlign w:val="superscript"/>
        </w:rPr>
        <w:t>6</w:t>
      </w:r>
      <w:r>
        <w:t xml:space="preserve"> </w:t>
      </w:r>
      <w:r w:rsidRPr="00EF5D32">
        <w:rPr>
          <w:b/>
          <w:i/>
        </w:rPr>
        <w:t>Ibid</w:t>
      </w:r>
      <w:r>
        <w:t xml:space="preserve"> at 780</w:t>
      </w:r>
      <w:r>
        <w:rPr>
          <w:rFonts w:ascii="Tahoma" w:hAnsi="Tahoma" w:cs="Tahoma"/>
          <w:szCs w:val="24"/>
        </w:rPr>
        <w:t>–</w:t>
      </w:r>
      <w:r>
        <w:t>82.</w:t>
      </w:r>
    </w:p>
    <w:p w:rsidR="00A7518F" w:rsidRDefault="006053D7" w:rsidP="009C5A1B">
      <w:pPr>
        <w:autoSpaceDE w:val="0"/>
        <w:autoSpaceDN w:val="0"/>
        <w:adjustRightInd w:val="0"/>
        <w:spacing w:after="0" w:line="480" w:lineRule="auto"/>
      </w:pPr>
      <w:r w:rsidRPr="006053D7">
        <w:rPr>
          <w:vertAlign w:val="superscript"/>
        </w:rPr>
        <w:t>7</w:t>
      </w:r>
      <w:r>
        <w:t xml:space="preserve"> </w:t>
      </w:r>
      <w:r w:rsidRPr="00EF5D32">
        <w:rPr>
          <w:b/>
          <w:i/>
        </w:rPr>
        <w:t>Ibid</w:t>
      </w:r>
      <w:r>
        <w:t>.</w:t>
      </w:r>
    </w:p>
    <w:p w:rsidR="00A7518F" w:rsidRDefault="006053D7" w:rsidP="009C5A1B">
      <w:pPr>
        <w:pStyle w:val="Heading2"/>
        <w:rPr>
          <w:i/>
        </w:rPr>
      </w:pPr>
      <w:bookmarkStart w:id="12" w:name="_Toc401825601"/>
      <w:r w:rsidRPr="006053D7">
        <w:rPr>
          <w:i/>
        </w:rPr>
        <w:t>Supra</w:t>
      </w:r>
      <w:bookmarkEnd w:id="12"/>
    </w:p>
    <w:p w:rsidR="00304FFE" w:rsidRDefault="006053D7" w:rsidP="009C5A1B">
      <w:pPr>
        <w:spacing w:after="0" w:line="480" w:lineRule="auto"/>
      </w:pPr>
      <w:r>
        <w:tab/>
        <w:t xml:space="preserve">Meaning “above”, supra can be used with the short form “to refer to the </w:t>
      </w:r>
      <w:r w:rsidRPr="006053D7">
        <w:rPr>
          <w:b/>
        </w:rPr>
        <w:t>footnote containing the original, full citation</w:t>
      </w:r>
      <w:r>
        <w:t xml:space="preserve">. Do not use supra to refer to either an ibid or another supra” (McGill Law Journal, 2014, p. E-12). </w:t>
      </w:r>
      <w:r w:rsidR="00304FFE">
        <w:t xml:space="preserve">When using supra, authors should “reiterate the pinpoint even if the supra cites to the same passage as the original reference” (p. E-12). Please see below for </w:t>
      </w:r>
      <w:r w:rsidR="00EF41FC">
        <w:t xml:space="preserve">four sample footnotes </w:t>
      </w:r>
      <w:r w:rsidR="00304FFE">
        <w:t xml:space="preserve">from page E-12 in the </w:t>
      </w:r>
      <w:r w:rsidR="00304FFE" w:rsidRPr="006053D7">
        <w:rPr>
          <w:i/>
        </w:rPr>
        <w:t>McGill Guide</w:t>
      </w:r>
      <w:r w:rsidR="00304FFE">
        <w:t>; please refer to that page for more examples.</w:t>
      </w:r>
    </w:p>
    <w:p w:rsidR="00304FFE" w:rsidRDefault="00304FFE" w:rsidP="009C5A1B">
      <w:pPr>
        <w:spacing w:after="0" w:line="480" w:lineRule="auto"/>
      </w:pPr>
      <w:r w:rsidRPr="00EF41FC">
        <w:rPr>
          <w:vertAlign w:val="superscript"/>
        </w:rPr>
        <w:t>1</w:t>
      </w:r>
      <w:r>
        <w:t xml:space="preserve"> </w:t>
      </w:r>
      <w:r w:rsidRPr="00EF41FC">
        <w:rPr>
          <w:i/>
        </w:rPr>
        <w:t xml:space="preserve">MacMillan </w:t>
      </w:r>
      <w:proofErr w:type="spellStart"/>
      <w:r w:rsidRPr="00EF41FC">
        <w:rPr>
          <w:i/>
        </w:rPr>
        <w:t>Bloedel</w:t>
      </w:r>
      <w:proofErr w:type="spellEnd"/>
      <w:r w:rsidRPr="00EF41FC">
        <w:rPr>
          <w:i/>
        </w:rPr>
        <w:t xml:space="preserve"> Ltd v British Columbia</w:t>
      </w:r>
      <w:r>
        <w:t xml:space="preserve"> (AG) (1996), 22 BCLR (3d) 137 at 147, 30 WCB (2d) 446 (CA) [</w:t>
      </w:r>
      <w:r w:rsidRPr="00EF41FC">
        <w:rPr>
          <w:i/>
        </w:rPr>
        <w:t>MacMillan</w:t>
      </w:r>
      <w:r>
        <w:t xml:space="preserve">]; </w:t>
      </w:r>
      <w:r w:rsidRPr="00EF41FC">
        <w:rPr>
          <w:i/>
        </w:rPr>
        <w:t>Towne Cinema Theatres</w:t>
      </w:r>
      <w:r w:rsidR="00EF41FC" w:rsidRPr="00EF41FC">
        <w:rPr>
          <w:i/>
        </w:rPr>
        <w:t xml:space="preserve"> Ltd v R</w:t>
      </w:r>
      <w:r w:rsidR="00EF41FC">
        <w:t>, [1985] 1 SCR 494 at 501, 18 DLR (4</w:t>
      </w:r>
      <w:r w:rsidR="00EF41FC" w:rsidRPr="00EF41FC">
        <w:t>th</w:t>
      </w:r>
      <w:r w:rsidR="00EF41FC">
        <w:t>) 1 [</w:t>
      </w:r>
      <w:r w:rsidR="00EF41FC" w:rsidRPr="00EF41FC">
        <w:rPr>
          <w:i/>
        </w:rPr>
        <w:t>Towne Cinema</w:t>
      </w:r>
      <w:r w:rsidR="00EF41FC">
        <w:t>].</w:t>
      </w:r>
    </w:p>
    <w:p w:rsidR="00EF41FC" w:rsidRDefault="00EF41FC" w:rsidP="009C5A1B">
      <w:pPr>
        <w:spacing w:after="0" w:line="480" w:lineRule="auto"/>
      </w:pPr>
      <w:r w:rsidRPr="00EF41FC">
        <w:rPr>
          <w:vertAlign w:val="superscript"/>
        </w:rPr>
        <w:t>2</w:t>
      </w:r>
      <w:r>
        <w:t xml:space="preserve"> </w:t>
      </w:r>
      <w:r w:rsidRPr="00EF41FC">
        <w:rPr>
          <w:i/>
        </w:rPr>
        <w:t>MacMillan</w:t>
      </w:r>
      <w:r>
        <w:t xml:space="preserve">, </w:t>
      </w:r>
      <w:r w:rsidRPr="00EF5D32">
        <w:rPr>
          <w:b/>
          <w:i/>
        </w:rPr>
        <w:t>supra</w:t>
      </w:r>
      <w:r>
        <w:t xml:space="preserve"> note 1.</w:t>
      </w:r>
    </w:p>
    <w:p w:rsidR="00EF41FC" w:rsidRDefault="00EF41FC" w:rsidP="009C5A1B">
      <w:pPr>
        <w:spacing w:after="0" w:line="480" w:lineRule="auto"/>
      </w:pPr>
      <w:r w:rsidRPr="00EF41FC">
        <w:rPr>
          <w:vertAlign w:val="superscript"/>
        </w:rPr>
        <w:t>58</w:t>
      </w:r>
      <w:r>
        <w:t xml:space="preserve"> </w:t>
      </w:r>
      <w:r w:rsidRPr="00EF5D32">
        <w:rPr>
          <w:b/>
          <w:i/>
        </w:rPr>
        <w:t>Supra</w:t>
      </w:r>
      <w:r>
        <w:t xml:space="preserve"> note 1 at 140.</w:t>
      </w:r>
    </w:p>
    <w:p w:rsidR="00EF41FC" w:rsidRDefault="00EF41FC" w:rsidP="009C5A1B">
      <w:pPr>
        <w:spacing w:after="0" w:line="480" w:lineRule="auto"/>
      </w:pPr>
      <w:r w:rsidRPr="00EF41FC">
        <w:rPr>
          <w:vertAlign w:val="superscript"/>
        </w:rPr>
        <w:t>59</w:t>
      </w:r>
      <w:r>
        <w:t xml:space="preserve"> </w:t>
      </w:r>
      <w:r w:rsidRPr="00EF41FC">
        <w:rPr>
          <w:i/>
        </w:rPr>
        <w:t>Ibid</w:t>
      </w:r>
      <w:r>
        <w:t>.</w:t>
      </w:r>
    </w:p>
    <w:p w:rsidR="00FE2AF2" w:rsidRDefault="00FE2AF2" w:rsidP="009C5A1B">
      <w:pPr>
        <w:pStyle w:val="Heading1"/>
      </w:pPr>
      <w:bookmarkStart w:id="13" w:name="_Pinpoints"/>
      <w:bookmarkStart w:id="14" w:name="_Toc401825602"/>
      <w:bookmarkEnd w:id="13"/>
      <w:r>
        <w:lastRenderedPageBreak/>
        <w:t>Pinpoints</w:t>
      </w:r>
      <w:bookmarkEnd w:id="14"/>
    </w:p>
    <w:p w:rsidR="006053D7" w:rsidRDefault="00FE2AF2" w:rsidP="009C5A1B">
      <w:pPr>
        <w:spacing w:after="0" w:line="480" w:lineRule="auto"/>
      </w:pPr>
      <w:r>
        <w:tab/>
        <w:t>Pinpoints are used in legal citations in the same way that page or paragraph numbers are used in the APA Style rules: to indicate a specific location for information. To format a pinpoint:</w:t>
      </w:r>
    </w:p>
    <w:p w:rsidR="00FE2AF2" w:rsidRPr="00FE2AF2" w:rsidRDefault="00FE2AF2" w:rsidP="009C5A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MS Shell Dlg 2" w:hAnsi="MS Shell Dlg 2" w:cs="MS Shell Dlg 2"/>
          <w:sz w:val="17"/>
          <w:szCs w:val="17"/>
        </w:rPr>
      </w:pPr>
      <w:r>
        <w:t xml:space="preserve">“Separate </w:t>
      </w:r>
      <w:r w:rsidRPr="00F13483">
        <w:rPr>
          <w:b/>
        </w:rPr>
        <w:t>non-consecutive pinpoints</w:t>
      </w:r>
      <w:r>
        <w:t xml:space="preserve"> by a </w:t>
      </w:r>
      <w:r w:rsidRPr="00F13483">
        <w:rPr>
          <w:b/>
        </w:rPr>
        <w:t>comma</w:t>
      </w:r>
      <w:r>
        <w:t xml:space="preserve">, and </w:t>
      </w:r>
      <w:r w:rsidRPr="00F13483">
        <w:rPr>
          <w:b/>
        </w:rPr>
        <w:t>consecutive pinpoints</w:t>
      </w:r>
      <w:r>
        <w:t xml:space="preserve"> by an </w:t>
      </w:r>
      <w:proofErr w:type="spellStart"/>
      <w:r w:rsidRPr="00F13483">
        <w:rPr>
          <w:b/>
        </w:rPr>
        <w:t>en</w:t>
      </w:r>
      <w:proofErr w:type="spellEnd"/>
      <w:r w:rsidRPr="00F13483">
        <w:rPr>
          <w:b/>
        </w:rPr>
        <w:t xml:space="preserve"> dash</w:t>
      </w:r>
      <w:r>
        <w:t xml:space="preserve"> (</w:t>
      </w:r>
      <w:r w:rsidRPr="00FE2AF2">
        <w:rPr>
          <w:rFonts w:ascii="Tahoma" w:hAnsi="Tahoma" w:cs="Tahoma"/>
          <w:szCs w:val="24"/>
        </w:rPr>
        <w:t>–</w:t>
      </w:r>
      <w:r w:rsidR="00F13483" w:rsidRPr="00F13483">
        <w:rPr>
          <w:rFonts w:cs="Times New Roman"/>
          <w:szCs w:val="24"/>
        </w:rPr>
        <w:t>)</w:t>
      </w:r>
      <w:r w:rsidR="00F13483">
        <w:rPr>
          <w:rFonts w:ascii="Tahoma" w:hAnsi="Tahoma" w:cs="Tahoma"/>
          <w:szCs w:val="24"/>
        </w:rPr>
        <w:t xml:space="preserve">, </w:t>
      </w:r>
      <w:r w:rsidR="00F13483">
        <w:t xml:space="preserve">not a </w:t>
      </w:r>
      <w:r w:rsidR="00F13483" w:rsidRPr="00F13483">
        <w:rPr>
          <w:b/>
        </w:rPr>
        <w:t>hyphen</w:t>
      </w:r>
      <w:r w:rsidR="00F13483">
        <w:t xml:space="preserve"> (-)” (McGill Law Journal, 2014, p. E-14).</w:t>
      </w:r>
    </w:p>
    <w:p w:rsidR="00FE2AF2" w:rsidRDefault="00F13483" w:rsidP="009C5A1B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“Retain at least the last two digits following the </w:t>
      </w:r>
      <w:proofErr w:type="spellStart"/>
      <w:r>
        <w:t>en</w:t>
      </w:r>
      <w:proofErr w:type="spellEnd"/>
      <w:r>
        <w:t xml:space="preserve"> dash (e.g., 159</w:t>
      </w:r>
      <w:r w:rsidRPr="00FE2AF2">
        <w:rPr>
          <w:rFonts w:ascii="Tahoma" w:hAnsi="Tahoma" w:cs="Tahoma"/>
          <w:szCs w:val="24"/>
        </w:rPr>
        <w:t>–</w:t>
      </w:r>
      <w:r>
        <w:t>160)” (p. E-14).</w:t>
      </w:r>
    </w:p>
    <w:p w:rsidR="00F13483" w:rsidRDefault="00F13483" w:rsidP="009C5A1B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If using the </w:t>
      </w:r>
      <w:proofErr w:type="spellStart"/>
      <w:r>
        <w:t>en</w:t>
      </w:r>
      <w:proofErr w:type="spellEnd"/>
      <w:r>
        <w:t xml:space="preserve"> dash would be confusing when presenting a range of pages, use “to”</w:t>
      </w:r>
      <w:r w:rsidR="009A5A71">
        <w:t xml:space="preserve"> instead of the </w:t>
      </w:r>
      <w:proofErr w:type="spellStart"/>
      <w:r w:rsidR="009A5A71">
        <w:t>en</w:t>
      </w:r>
      <w:proofErr w:type="spellEnd"/>
      <w:r w:rsidR="009A5A71">
        <w:t xml:space="preserve"> dash</w:t>
      </w:r>
      <w:r>
        <w:t xml:space="preserve"> e.g., “70.1-3 to 70.1-5” (p. E-14).</w:t>
      </w:r>
    </w:p>
    <w:p w:rsidR="009A5A71" w:rsidRDefault="009A5A71" w:rsidP="009C5A1B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“Do not abbreviate unnumbered elements (e.g., </w:t>
      </w:r>
      <w:r w:rsidRPr="009F5194">
        <w:rPr>
          <w:b/>
        </w:rPr>
        <w:t>Preamble, Schedule, Appendix, Preliminary Provision</w:t>
      </w:r>
      <w:r>
        <w:t>, etc.) in a pinpoint” (p. E-14).</w:t>
      </w:r>
    </w:p>
    <w:p w:rsidR="009A5A71" w:rsidRDefault="009A5A71" w:rsidP="009C5A1B">
      <w:pPr>
        <w:spacing w:after="0" w:line="480" w:lineRule="auto"/>
      </w:pPr>
      <w:r>
        <w:t xml:space="preserve">Please see below for examples </w:t>
      </w:r>
      <w:r w:rsidR="00A543D6">
        <w:t xml:space="preserve">on how to cite specific locations within resources </w:t>
      </w:r>
      <w:r>
        <w:t>from page E-13 in the McGill Guide; please refer to that page for more examples:</w:t>
      </w:r>
    </w:p>
    <w:p w:rsidR="009A5A71" w:rsidRDefault="00A543D6" w:rsidP="009C5A1B">
      <w:pPr>
        <w:pStyle w:val="ListParagraph"/>
        <w:numPr>
          <w:ilvl w:val="0"/>
          <w:numId w:val="7"/>
        </w:numPr>
        <w:spacing w:after="0" w:line="480" w:lineRule="auto"/>
      </w:pPr>
      <w:r>
        <w:t>P</w:t>
      </w:r>
      <w:r w:rsidR="007368F2" w:rsidRPr="007368F2">
        <w:t>age:</w:t>
      </w:r>
      <w:r w:rsidR="007368F2" w:rsidRPr="007368F2">
        <w:rPr>
          <w:vertAlign w:val="superscript"/>
        </w:rPr>
        <w:t xml:space="preserve"> </w:t>
      </w:r>
      <w:r w:rsidR="009A5A71" w:rsidRPr="007368F2">
        <w:rPr>
          <w:i/>
        </w:rPr>
        <w:t>Ibid</w:t>
      </w:r>
      <w:r w:rsidR="009A5A71">
        <w:t xml:space="preserve"> at 512</w:t>
      </w:r>
      <w:r w:rsidR="0068688D">
        <w:t>.</w:t>
      </w:r>
      <w:r w:rsidR="009A5A71">
        <w:t xml:space="preserve"> </w:t>
      </w:r>
    </w:p>
    <w:p w:rsidR="009A5A71" w:rsidRDefault="00A543D6" w:rsidP="009C5A1B">
      <w:pPr>
        <w:pStyle w:val="ListParagraph"/>
        <w:numPr>
          <w:ilvl w:val="0"/>
          <w:numId w:val="7"/>
        </w:numPr>
        <w:spacing w:after="0" w:line="480" w:lineRule="auto"/>
      </w:pPr>
      <w:r>
        <w:t>P</w:t>
      </w:r>
      <w:r w:rsidR="007368F2" w:rsidRPr="007368F2">
        <w:t>aragraph:</w:t>
      </w:r>
      <w:r w:rsidR="007368F2" w:rsidRPr="007368F2">
        <w:rPr>
          <w:vertAlign w:val="superscript"/>
        </w:rPr>
        <w:t xml:space="preserve"> </w:t>
      </w:r>
      <w:r w:rsidR="009A5A71" w:rsidRPr="007368F2">
        <w:rPr>
          <w:i/>
        </w:rPr>
        <w:t>Ibid</w:t>
      </w:r>
      <w:r w:rsidR="009A5A71">
        <w:t xml:space="preserve"> at para 6.</w:t>
      </w:r>
      <w:r w:rsidR="001763CD">
        <w:t xml:space="preserve"> </w:t>
      </w:r>
    </w:p>
    <w:p w:rsidR="007368F2" w:rsidRDefault="00A543D6" w:rsidP="009C5A1B">
      <w:pPr>
        <w:pStyle w:val="ListParagraph"/>
        <w:numPr>
          <w:ilvl w:val="0"/>
          <w:numId w:val="7"/>
        </w:numPr>
        <w:spacing w:after="0" w:line="480" w:lineRule="auto"/>
      </w:pPr>
      <w:r>
        <w:t>S</w:t>
      </w:r>
      <w:r w:rsidR="007368F2">
        <w:t>ection</w:t>
      </w:r>
      <w:r w:rsidR="007368F2" w:rsidRPr="007368F2">
        <w:t>:</w:t>
      </w:r>
      <w:r w:rsidR="007368F2" w:rsidRPr="007368F2">
        <w:rPr>
          <w:vertAlign w:val="superscript"/>
        </w:rPr>
        <w:t xml:space="preserve"> </w:t>
      </w:r>
      <w:r w:rsidR="0068688D" w:rsidRPr="007368F2">
        <w:rPr>
          <w:i/>
        </w:rPr>
        <w:t>Ibid</w:t>
      </w:r>
      <w:r w:rsidR="0068688D">
        <w:t xml:space="preserve">, s 4(1). </w:t>
      </w:r>
    </w:p>
    <w:p w:rsidR="007368F2" w:rsidRDefault="00A543D6" w:rsidP="009C5A1B">
      <w:pPr>
        <w:pStyle w:val="ListParagraph"/>
        <w:numPr>
          <w:ilvl w:val="0"/>
          <w:numId w:val="7"/>
        </w:numPr>
        <w:spacing w:after="0" w:line="480" w:lineRule="auto"/>
      </w:pPr>
      <w:r>
        <w:t>A</w:t>
      </w:r>
      <w:r w:rsidR="007368F2">
        <w:t>rticle</w:t>
      </w:r>
      <w:r w:rsidR="00E32494">
        <w:t xml:space="preserve"> (e.g., a section of a statute)</w:t>
      </w:r>
      <w:r w:rsidR="007368F2" w:rsidRPr="007368F2">
        <w:t>:</w:t>
      </w:r>
      <w:r w:rsidR="007368F2" w:rsidRPr="007368F2">
        <w:rPr>
          <w:vertAlign w:val="superscript"/>
        </w:rPr>
        <w:t xml:space="preserve"> </w:t>
      </w:r>
      <w:r w:rsidR="0068688D" w:rsidRPr="007368F2">
        <w:rPr>
          <w:i/>
        </w:rPr>
        <w:t>Ibid</w:t>
      </w:r>
      <w:r w:rsidR="0068688D">
        <w:t xml:space="preserve">, art 1457. </w:t>
      </w:r>
    </w:p>
    <w:p w:rsidR="00A543D6" w:rsidRDefault="00A543D6" w:rsidP="009C5A1B">
      <w:pPr>
        <w:pStyle w:val="ListParagraph"/>
        <w:numPr>
          <w:ilvl w:val="0"/>
          <w:numId w:val="7"/>
        </w:numPr>
        <w:spacing w:after="0" w:line="480" w:lineRule="auto"/>
      </w:pPr>
      <w:r>
        <w:t>F</w:t>
      </w:r>
      <w:r w:rsidR="007368F2">
        <w:t>ootnote</w:t>
      </w:r>
      <w:r w:rsidR="007368F2" w:rsidRPr="007368F2">
        <w:t>:</w:t>
      </w:r>
      <w:r w:rsidR="007368F2" w:rsidRPr="00A543D6">
        <w:rPr>
          <w:vertAlign w:val="superscript"/>
        </w:rPr>
        <w:t xml:space="preserve"> </w:t>
      </w:r>
      <w:r w:rsidR="0068688D">
        <w:t xml:space="preserve">Ibid at 512, n 139. </w:t>
      </w:r>
    </w:p>
    <w:p w:rsidR="0068688D" w:rsidRPr="0068688D" w:rsidRDefault="0068688D" w:rsidP="009C5A1B">
      <w:pPr>
        <w:pStyle w:val="Heading1"/>
      </w:pPr>
      <w:bookmarkStart w:id="15" w:name="_Toc401825603"/>
      <w:r>
        <w:t>Online resources</w:t>
      </w:r>
      <w:bookmarkEnd w:id="15"/>
    </w:p>
    <w:p w:rsidR="0067088A" w:rsidRDefault="007C7936" w:rsidP="009C5A1B">
      <w:pPr>
        <w:spacing w:after="0" w:line="480" w:lineRule="auto"/>
        <w:ind w:firstLine="720"/>
      </w:pPr>
      <w:r>
        <w:t xml:space="preserve">As with the APA Style rules, </w:t>
      </w:r>
      <w:proofErr w:type="gramStart"/>
      <w:r>
        <w:t>the  location</w:t>
      </w:r>
      <w:proofErr w:type="gramEnd"/>
      <w:r>
        <w:t xml:space="preserve"> of the online resource is provided after the primary information of the citation</w:t>
      </w:r>
      <w:r w:rsidR="0042539B">
        <w:t xml:space="preserve">: “Provide the full traditional citation, followed by a comma. Add </w:t>
      </w:r>
      <w:r w:rsidR="0042539B" w:rsidRPr="009F5194">
        <w:rPr>
          <w:b/>
        </w:rPr>
        <w:t>online:</w:t>
      </w:r>
      <w:r w:rsidR="0042539B">
        <w:t xml:space="preserve"> followed by the URL enclosed in angle brackets (i.e., &lt; &gt;)” (McGill Law Journal, 2014, p. E-14). </w:t>
      </w:r>
      <w:r w:rsidR="000C2385">
        <w:t xml:space="preserve">The URL should not be an active hyperlink, though Microsoft Word may automatically turn the text into a hyperlink. Should that happen, please remove the hyperlink and </w:t>
      </w:r>
      <w:r w:rsidR="000C2385">
        <w:lastRenderedPageBreak/>
        <w:t xml:space="preserve">ensure that the URL has the correct formatting, including the opening and closing angle brackets. </w:t>
      </w:r>
      <w:r w:rsidR="0042539B">
        <w:t>Provide the pinpoint before the URL (p. E-14), and “where appropriate, pinpoint to elements other than page numbers” (p. E-14).</w:t>
      </w:r>
      <w:r w:rsidR="005212CD">
        <w:t xml:space="preserve"> For example, “if provided, include the paragraph number in the pinpoint. When the printed pagination </w:t>
      </w:r>
      <w:proofErr w:type="gramStart"/>
      <w:r w:rsidR="005212CD">
        <w:t>is reproduced</w:t>
      </w:r>
      <w:proofErr w:type="gramEnd"/>
      <w:r w:rsidR="005212CD">
        <w:t xml:space="preserve"> in the electronic source, refer to this page numbering” (p. E-15). Also, “cite the full URL of the source, but exclude the </w:t>
      </w:r>
      <w:r w:rsidR="005212CD" w:rsidRPr="005212CD">
        <w:t>http://</w:t>
      </w:r>
      <w:r w:rsidR="005212CD" w:rsidRPr="005212CD">
        <w:rPr>
          <w:rStyle w:val="Hyperlink"/>
          <w:u w:val="none"/>
        </w:rPr>
        <w:t xml:space="preserve"> </w:t>
      </w:r>
      <w:r w:rsidR="005212CD" w:rsidRPr="005212CD">
        <w:t>protocol</w:t>
      </w:r>
      <w:r w:rsidR="005212CD">
        <w:t>. Include the protocol if it is anything else (for example https://)” (p. E-15).</w:t>
      </w:r>
      <w:r w:rsidR="0067088A">
        <w:t xml:space="preserve"> </w:t>
      </w:r>
      <w:r w:rsidR="00156C8E">
        <w:t xml:space="preserve">Finally, “add any additional information necessary to situate the reader vis-à-vis the website before the URL (e.g., </w:t>
      </w:r>
      <w:r w:rsidR="00156C8E" w:rsidRPr="009F5194">
        <w:rPr>
          <w:b/>
        </w:rPr>
        <w:t>Immigration and Refugee Board</w:t>
      </w:r>
      <w:r w:rsidR="00F9260D" w:rsidRPr="009F5194">
        <w:rPr>
          <w:b/>
        </w:rPr>
        <w:t>, Competition Tribunal</w:t>
      </w:r>
      <w:r w:rsidR="009F5194">
        <w:t>)” (p. E-15).</w:t>
      </w:r>
      <w:r w:rsidR="00156C8E">
        <w:t xml:space="preserve"> </w:t>
      </w:r>
      <w:r w:rsidR="0067088A">
        <w:t xml:space="preserve">Please see below for two sample footnotes from page E-15 in the </w:t>
      </w:r>
      <w:r w:rsidR="0067088A" w:rsidRPr="006053D7">
        <w:rPr>
          <w:i/>
        </w:rPr>
        <w:t>McGill Guide</w:t>
      </w:r>
      <w:r w:rsidR="0067088A">
        <w:t>; please refer to that page for more examples.</w:t>
      </w:r>
    </w:p>
    <w:p w:rsidR="009A5A71" w:rsidRDefault="00156C8E" w:rsidP="009C5A1B">
      <w:pPr>
        <w:spacing w:after="0" w:line="480" w:lineRule="auto"/>
      </w:pPr>
      <w:r w:rsidRPr="00F9260D">
        <w:rPr>
          <w:vertAlign w:val="superscript"/>
        </w:rPr>
        <w:t>1</w:t>
      </w:r>
      <w:r>
        <w:t xml:space="preserve"> </w:t>
      </w:r>
      <w:proofErr w:type="spellStart"/>
      <w:r w:rsidRPr="00156C8E">
        <w:rPr>
          <w:i/>
        </w:rPr>
        <w:t>Ardavani</w:t>
      </w:r>
      <w:proofErr w:type="spellEnd"/>
      <w:r w:rsidRPr="00156C8E">
        <w:rPr>
          <w:i/>
        </w:rPr>
        <w:t xml:space="preserve"> v Minister of Citizenship and Immigration</w:t>
      </w:r>
      <w:r>
        <w:t xml:space="preserve"> (30 May 2005), VA4-01907, online: Immigration and Refugee Board </w:t>
      </w:r>
      <w:r w:rsidR="000C2385">
        <w:t>&lt;</w:t>
      </w:r>
      <w:r w:rsidR="000C2385" w:rsidRPr="000C2385">
        <w:t>www.canlii.org/en/ca/irb/doc/2005/2005canlii56963/2005canlii56963.html</w:t>
      </w:r>
      <w:r w:rsidR="000C2385">
        <w:t>&gt;</w:t>
      </w:r>
      <w:r>
        <w:t>.</w:t>
      </w:r>
    </w:p>
    <w:p w:rsidR="00156C8E" w:rsidRDefault="00156C8E" w:rsidP="009C5A1B">
      <w:pPr>
        <w:spacing w:after="0" w:line="480" w:lineRule="auto"/>
      </w:pPr>
      <w:r w:rsidRPr="00F9260D">
        <w:rPr>
          <w:vertAlign w:val="superscript"/>
        </w:rPr>
        <w:t>2</w:t>
      </w:r>
      <w:r>
        <w:t xml:space="preserve"> </w:t>
      </w:r>
      <w:r w:rsidR="00F9260D" w:rsidRPr="00F9260D">
        <w:rPr>
          <w:i/>
        </w:rPr>
        <w:t>The Commissioner of Competition v Canfor Corporation</w:t>
      </w:r>
      <w:r w:rsidR="00F9260D">
        <w:t xml:space="preserve"> (30 March 2004, CT-2004-002, online: Competition Tribunal &lt;</w:t>
      </w:r>
      <w:r w:rsidR="00F9260D" w:rsidRPr="00F9260D">
        <w:t>www.ct-tc.gc.ca/CMFiles/CT-2004-002</w:t>
      </w:r>
      <w:r w:rsidR="00F9260D" w:rsidRPr="00F9260D">
        <w:softHyphen/>
        <w:t>_001b_38LMA-427200403987.pdf</w:t>
      </w:r>
      <w:r w:rsidR="00F9260D">
        <w:t>&gt;.</w:t>
      </w:r>
    </w:p>
    <w:p w:rsidR="00F9260D" w:rsidRDefault="00F9260D" w:rsidP="009C5A1B">
      <w:pPr>
        <w:pStyle w:val="Heading1"/>
      </w:pPr>
      <w:bookmarkStart w:id="16" w:name="_Toc401825604"/>
      <w:r>
        <w:t>Secondary sources</w:t>
      </w:r>
      <w:bookmarkEnd w:id="16"/>
    </w:p>
    <w:p w:rsidR="00F9260D" w:rsidRDefault="00F9260D" w:rsidP="009C5A1B">
      <w:pPr>
        <w:spacing w:after="0" w:line="480" w:lineRule="auto"/>
      </w:pPr>
      <w:r>
        <w:tab/>
      </w:r>
      <w:r w:rsidR="003B295B">
        <w:t>Similarly to</w:t>
      </w:r>
      <w:r>
        <w:t xml:space="preserve"> the APA Style rules, the </w:t>
      </w:r>
      <w:r w:rsidRPr="003B295B">
        <w:rPr>
          <w:i/>
        </w:rPr>
        <w:t>McGill Guide</w:t>
      </w:r>
      <w:r>
        <w:t xml:space="preserve"> encourages authors to consult or</w:t>
      </w:r>
      <w:r w:rsidR="003B295B">
        <w:t xml:space="preserve">iginal works, versus </w:t>
      </w:r>
      <w:r w:rsidR="00465B86">
        <w:t xml:space="preserve">relying on </w:t>
      </w:r>
      <w:hyperlink r:id="rId15" w:history="1">
        <w:r w:rsidR="003B295B" w:rsidRPr="003B295B">
          <w:rPr>
            <w:rStyle w:val="Hyperlink"/>
          </w:rPr>
          <w:t>secondary sources</w:t>
        </w:r>
      </w:hyperlink>
      <w:r w:rsidR="003B295B">
        <w:t xml:space="preserve"> </w:t>
      </w:r>
      <w:r w:rsidR="003B295B" w:rsidRPr="003B295B">
        <w:t>where an author discusse</w:t>
      </w:r>
      <w:r w:rsidR="003B295B">
        <w:t>s</w:t>
      </w:r>
      <w:r w:rsidR="003B295B" w:rsidRPr="003B295B">
        <w:t xml:space="preserve"> information originally presented or published elsewhere</w:t>
      </w:r>
      <w:r w:rsidR="003B295B">
        <w:t xml:space="preserve">. </w:t>
      </w:r>
      <w:r w:rsidR="00465B86">
        <w:t xml:space="preserve">However, should the original source be unobtainable, </w:t>
      </w:r>
      <w:r w:rsidR="00704331">
        <w:t xml:space="preserve">“provide as much information on the original work as possible, followed by </w:t>
      </w:r>
      <w:r w:rsidR="00704331" w:rsidRPr="009F5194">
        <w:rPr>
          <w:b/>
        </w:rPr>
        <w:t>cited in</w:t>
      </w:r>
      <w:r w:rsidR="00704331">
        <w:t xml:space="preserve"> and the citation to the citing source” (McGill Law Journal, 2014, p. E-16). If the primary information is only available in archives, “provide a complete citation to the original work, followed by </w:t>
      </w:r>
      <w:r w:rsidR="00704331" w:rsidRPr="009F5194">
        <w:rPr>
          <w:b/>
        </w:rPr>
        <w:t>reprinted in</w:t>
      </w:r>
      <w:r w:rsidR="00704331">
        <w:t xml:space="preserve"> and the </w:t>
      </w:r>
      <w:r w:rsidR="00704331">
        <w:lastRenderedPageBreak/>
        <w:t xml:space="preserve">citation to the citing source” (p. E-16). </w:t>
      </w:r>
      <w:r w:rsidR="00A320D3">
        <w:t>See below for an example from page E-16 in the McGill Guide:</w:t>
      </w:r>
    </w:p>
    <w:p w:rsidR="00A320D3" w:rsidRDefault="00A320D3" w:rsidP="009C5A1B">
      <w:pPr>
        <w:spacing w:after="0" w:line="480" w:lineRule="auto"/>
        <w:rPr>
          <w:rFonts w:cs="Times New Roman"/>
          <w:szCs w:val="24"/>
        </w:rPr>
      </w:pPr>
      <w:r w:rsidRPr="00A320D3">
        <w:rPr>
          <w:vertAlign w:val="superscript"/>
        </w:rPr>
        <w:t>1</w:t>
      </w:r>
      <w:r>
        <w:t xml:space="preserve"> George R to Governor Arthur Phillip, Royal Instruction, 25 April 1787 (27 Geo III), </w:t>
      </w:r>
      <w:r w:rsidRPr="00753457">
        <w:rPr>
          <w:b/>
        </w:rPr>
        <w:t>reprinted in</w:t>
      </w:r>
      <w:r>
        <w:t xml:space="preserve"> Historical Documents of New South Wales, vol 1, part 2 (Sydney: Government Printer, 1892</w:t>
      </w:r>
      <w:r w:rsidRPr="00FE2AF2">
        <w:rPr>
          <w:rFonts w:ascii="Tahoma" w:hAnsi="Tahoma" w:cs="Tahoma"/>
          <w:szCs w:val="24"/>
        </w:rPr>
        <w:t>–</w:t>
      </w:r>
      <w:r w:rsidRPr="00A320D3">
        <w:rPr>
          <w:rFonts w:cs="Times New Roman"/>
          <w:szCs w:val="24"/>
        </w:rPr>
        <w:t>1901) 67.</w:t>
      </w:r>
      <w:r w:rsidR="00004E2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RRU students should note that while the above example demonstrates the use of “reprinted in”, the type of document referenced in the citation would normally fall under </w:t>
      </w:r>
      <w:r w:rsidR="0011095D">
        <w:rPr>
          <w:rFonts w:cs="Times New Roman"/>
          <w:szCs w:val="24"/>
        </w:rPr>
        <w:t xml:space="preserve">the categories covered by the APA Style rules. The example is provided here as an illustration of how to format a citation to a secondary source using the </w:t>
      </w:r>
      <w:r w:rsidR="0011095D" w:rsidRPr="0011095D">
        <w:rPr>
          <w:rFonts w:cs="Times New Roman"/>
          <w:i/>
          <w:szCs w:val="24"/>
        </w:rPr>
        <w:t>McGill Guide</w:t>
      </w:r>
      <w:r w:rsidR="0011095D">
        <w:rPr>
          <w:rFonts w:cs="Times New Roman"/>
          <w:szCs w:val="24"/>
        </w:rPr>
        <w:t xml:space="preserve"> rules.</w:t>
      </w:r>
    </w:p>
    <w:p w:rsidR="0011095D" w:rsidRDefault="0011095D" w:rsidP="009C5A1B">
      <w:pPr>
        <w:spacing w:after="0" w:line="480" w:lineRule="auto"/>
      </w:pPr>
      <w:r>
        <w:rPr>
          <w:rFonts w:cs="Times New Roman"/>
          <w:szCs w:val="24"/>
        </w:rPr>
        <w:tab/>
        <w:t>If the secondary source is “more eminent or trustworthy” (</w:t>
      </w:r>
      <w:r>
        <w:t xml:space="preserve">McGill Law Journal, 2014, p. E-16) than the original source, “include the citation to the citing source, followed by </w:t>
      </w:r>
      <w:r w:rsidRPr="009F5194">
        <w:rPr>
          <w:b/>
        </w:rPr>
        <w:t>citing</w:t>
      </w:r>
      <w:r>
        <w:t xml:space="preserve"> and the citation to the original source” (p. E-16). Please see below for an example of this type of citation from page E-16 in the </w:t>
      </w:r>
      <w:r w:rsidRPr="0011095D">
        <w:rPr>
          <w:i/>
        </w:rPr>
        <w:t>McGill Guide</w:t>
      </w:r>
      <w:r>
        <w:t>:</w:t>
      </w:r>
    </w:p>
    <w:p w:rsidR="0011095D" w:rsidRDefault="0011095D" w:rsidP="009C5A1B">
      <w:pPr>
        <w:autoSpaceDE w:val="0"/>
        <w:autoSpaceDN w:val="0"/>
        <w:adjustRightInd w:val="0"/>
        <w:spacing w:after="0" w:line="480" w:lineRule="auto"/>
      </w:pPr>
      <w:r w:rsidRPr="0011095D">
        <w:rPr>
          <w:vertAlign w:val="superscript"/>
        </w:rPr>
        <w:t>1</w:t>
      </w:r>
      <w:r>
        <w:t xml:space="preserve"> </w:t>
      </w:r>
      <w:r w:rsidRPr="0011095D">
        <w:rPr>
          <w:i/>
        </w:rPr>
        <w:t xml:space="preserve">Canada (Citizenship and Immigration) v </w:t>
      </w:r>
      <w:proofErr w:type="spellStart"/>
      <w:r w:rsidRPr="0011095D">
        <w:rPr>
          <w:i/>
        </w:rPr>
        <w:t>Khosa</w:t>
      </w:r>
      <w:proofErr w:type="spellEnd"/>
      <w:r>
        <w:t xml:space="preserve">, 2009 SCC 12 at para 38, [20090 1 SCR 339, </w:t>
      </w:r>
      <w:r w:rsidRPr="00753457">
        <w:rPr>
          <w:b/>
        </w:rPr>
        <w:t>citing</w:t>
      </w:r>
      <w:r>
        <w:t xml:space="preserve"> Pierre-Andr</w:t>
      </w:r>
      <w:r>
        <w:rPr>
          <w:rFonts w:cs="Times New Roman"/>
          <w:szCs w:val="24"/>
        </w:rPr>
        <w:t>é</w:t>
      </w:r>
      <w:r>
        <w:t xml:space="preserve"> </w:t>
      </w:r>
      <w:proofErr w:type="spellStart"/>
      <w:r>
        <w:t>C</w:t>
      </w:r>
      <w:r w:rsidR="00004E2A">
        <w:rPr>
          <w:rFonts w:cs="Times New Roman"/>
          <w:szCs w:val="24"/>
        </w:rPr>
        <w:t>ô</w:t>
      </w:r>
      <w:r>
        <w:t>t</w:t>
      </w:r>
      <w:r w:rsidR="00004E2A">
        <w:rPr>
          <w:rFonts w:cs="Times New Roman"/>
          <w:szCs w:val="24"/>
        </w:rPr>
        <w:t>é</w:t>
      </w:r>
      <w:proofErr w:type="spellEnd"/>
      <w:r>
        <w:t xml:space="preserve">, </w:t>
      </w:r>
      <w:proofErr w:type="spellStart"/>
      <w:r>
        <w:t>Interpr</w:t>
      </w:r>
      <w:r w:rsidR="00004E2A">
        <w:rPr>
          <w:rFonts w:cs="Times New Roman"/>
          <w:szCs w:val="24"/>
        </w:rPr>
        <w:t>é</w:t>
      </w:r>
      <w:r>
        <w:t>tation</w:t>
      </w:r>
      <w:proofErr w:type="spellEnd"/>
      <w:r>
        <w:t xml:space="preserve"> des </w:t>
      </w:r>
      <w:proofErr w:type="spellStart"/>
      <w:r>
        <w:t>lois</w:t>
      </w:r>
      <w:proofErr w:type="spellEnd"/>
      <w:r>
        <w:t>, 3</w:t>
      </w:r>
      <w:r w:rsidRPr="0011095D">
        <w:t>rd</w:t>
      </w:r>
      <w:r>
        <w:t xml:space="preserve"> ed (</w:t>
      </w:r>
      <w:proofErr w:type="spellStart"/>
      <w:r>
        <w:t>Cowansville</w:t>
      </w:r>
      <w:proofErr w:type="spellEnd"/>
      <w:r>
        <w:t xml:space="preserve">, Que: Yvon </w:t>
      </w:r>
      <w:proofErr w:type="spellStart"/>
      <w:r>
        <w:t>Blais</w:t>
      </w:r>
      <w:proofErr w:type="spellEnd"/>
      <w:r>
        <w:t>, 1999) at 91, n 123.</w:t>
      </w:r>
    </w:p>
    <w:p w:rsidR="00753457" w:rsidRDefault="00865530" w:rsidP="009C5A1B">
      <w:pPr>
        <w:pStyle w:val="Heading1"/>
      </w:pPr>
      <w:bookmarkStart w:id="17" w:name="_Toc401825605"/>
      <w:r>
        <w:t>Conclusion</w:t>
      </w:r>
      <w:bookmarkEnd w:id="17"/>
    </w:p>
    <w:p w:rsidR="002E3A1C" w:rsidRDefault="00753457" w:rsidP="009C5A1B">
      <w:pPr>
        <w:spacing w:after="0" w:line="480" w:lineRule="auto"/>
        <w:rPr>
          <w:rStyle w:val="Hyperlink"/>
          <w:rFonts w:cs="Times New Roman"/>
          <w:szCs w:val="24"/>
        </w:rPr>
      </w:pPr>
      <w:r>
        <w:tab/>
        <w:t xml:space="preserve">This document provides a </w:t>
      </w:r>
      <w:r w:rsidR="00E32494">
        <w:t xml:space="preserve">brief </w:t>
      </w:r>
      <w:r>
        <w:t xml:space="preserve">introduction to the general rules of legal citation. For more detailed information, explanations, and examples, please see the </w:t>
      </w:r>
      <w:r>
        <w:rPr>
          <w:rFonts w:cs="Times New Roman"/>
          <w:szCs w:val="24"/>
        </w:rPr>
        <w:t xml:space="preserve">McGill Law Journal’s </w:t>
      </w:r>
      <w:r w:rsidRPr="0098710C">
        <w:rPr>
          <w:rFonts w:cs="Times New Roman"/>
          <w:i/>
          <w:szCs w:val="24"/>
        </w:rPr>
        <w:t>Canadian Guide to Uniform Legal Citation</w:t>
      </w:r>
      <w:r>
        <w:rPr>
          <w:rFonts w:cs="Times New Roman"/>
          <w:szCs w:val="24"/>
        </w:rPr>
        <w:t xml:space="preserve"> (8</w:t>
      </w:r>
      <w:r w:rsidRPr="00753457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ed.). For in-depth explanations and examples of citations </w:t>
      </w:r>
      <w:r w:rsidR="00CA1578">
        <w:rPr>
          <w:rFonts w:cs="Times New Roman"/>
          <w:szCs w:val="24"/>
        </w:rPr>
        <w:t xml:space="preserve">to Parliamentary publications, cases, legislation, or international law sources such as UN documents, </w:t>
      </w:r>
      <w:r>
        <w:rPr>
          <w:rFonts w:cs="Times New Roman"/>
          <w:szCs w:val="24"/>
        </w:rPr>
        <w:t xml:space="preserve">please see the UBC Law Library’s </w:t>
      </w:r>
      <w:hyperlink r:id="rId16" w:history="1">
        <w:r w:rsidRPr="002E28A1">
          <w:rPr>
            <w:rStyle w:val="Hyperlink"/>
            <w:rFonts w:cs="Times New Roman"/>
            <w:szCs w:val="24"/>
          </w:rPr>
          <w:t>Legal Citation Guide</w:t>
        </w:r>
      </w:hyperlink>
      <w:r w:rsidR="00865530">
        <w:rPr>
          <w:rStyle w:val="Hyperlink"/>
          <w:rFonts w:cs="Times New Roman"/>
          <w:szCs w:val="24"/>
        </w:rPr>
        <w:t xml:space="preserve">. </w:t>
      </w:r>
    </w:p>
    <w:p w:rsidR="00753457" w:rsidRDefault="002E3A1C" w:rsidP="009C5A1B">
      <w:pPr>
        <w:spacing w:after="0" w:line="480" w:lineRule="auto"/>
        <w:jc w:val="center"/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szCs w:val="24"/>
        </w:rPr>
        <w:br w:type="column"/>
      </w:r>
      <w:r w:rsidRPr="002E3A1C">
        <w:rPr>
          <w:rStyle w:val="Hyperlink"/>
          <w:rFonts w:cs="Times New Roman"/>
          <w:color w:val="auto"/>
          <w:szCs w:val="24"/>
          <w:u w:val="none"/>
        </w:rPr>
        <w:lastRenderedPageBreak/>
        <w:t>References</w:t>
      </w:r>
    </w:p>
    <w:p w:rsidR="002E3A1C" w:rsidRDefault="002E3A1C" w:rsidP="009C5A1B">
      <w:pPr>
        <w:spacing w:after="0" w:line="480" w:lineRule="auto"/>
        <w:ind w:left="720" w:hanging="720"/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American Psychological Association. (2010). Publication manual of the American Psychological Association (6</w:t>
      </w:r>
      <w:r w:rsidRPr="002E3A1C">
        <w:rPr>
          <w:rStyle w:val="Hyperlink"/>
          <w:rFonts w:cs="Times New Roman"/>
          <w:color w:val="auto"/>
          <w:szCs w:val="24"/>
          <w:u w:val="none"/>
        </w:rPr>
        <w:t>th</w:t>
      </w:r>
      <w:r>
        <w:rPr>
          <w:rStyle w:val="Hyperlink"/>
          <w:rFonts w:cs="Times New Roman"/>
          <w:color w:val="auto"/>
          <w:szCs w:val="24"/>
          <w:u w:val="none"/>
        </w:rPr>
        <w:t xml:space="preserve"> ed.). Washington, DC: Author.</w:t>
      </w:r>
    </w:p>
    <w:p w:rsidR="002E3A1C" w:rsidRPr="002E3A1C" w:rsidRDefault="002E3A1C" w:rsidP="009C5A1B">
      <w:pPr>
        <w:spacing w:after="0" w:line="480" w:lineRule="auto"/>
        <w:ind w:left="720" w:hanging="720"/>
      </w:pPr>
      <w:r>
        <w:rPr>
          <w:rStyle w:val="Hyperlink"/>
          <w:rFonts w:cs="Times New Roman"/>
          <w:color w:val="auto"/>
          <w:szCs w:val="24"/>
          <w:u w:val="none"/>
        </w:rPr>
        <w:t xml:space="preserve">McGill Law Journal. (2014). </w:t>
      </w:r>
      <w:r w:rsidRPr="009C5A1B">
        <w:rPr>
          <w:rStyle w:val="Hyperlink"/>
          <w:rFonts w:cs="Times New Roman"/>
          <w:i/>
          <w:color w:val="auto"/>
          <w:szCs w:val="24"/>
          <w:u w:val="none"/>
        </w:rPr>
        <w:t>Canadian guide to uniform legal citation</w:t>
      </w:r>
      <w:r>
        <w:rPr>
          <w:rStyle w:val="Hyperlink"/>
          <w:rFonts w:cs="Times New Roman"/>
          <w:color w:val="auto"/>
          <w:szCs w:val="24"/>
          <w:u w:val="none"/>
        </w:rPr>
        <w:t xml:space="preserve"> (8</w:t>
      </w:r>
      <w:r w:rsidRPr="002E3A1C">
        <w:rPr>
          <w:rStyle w:val="Hyperlink"/>
          <w:rFonts w:cs="Times New Roman"/>
          <w:color w:val="auto"/>
          <w:szCs w:val="24"/>
          <w:u w:val="none"/>
          <w:vertAlign w:val="superscript"/>
        </w:rPr>
        <w:t>th</w:t>
      </w:r>
      <w:r>
        <w:rPr>
          <w:rStyle w:val="Hyperlink"/>
          <w:rFonts w:cs="Times New Roman"/>
          <w:color w:val="auto"/>
          <w:szCs w:val="24"/>
          <w:u w:val="none"/>
        </w:rPr>
        <w:t xml:space="preserve"> ed.). </w:t>
      </w:r>
      <w:r w:rsidR="009C5A1B">
        <w:rPr>
          <w:rStyle w:val="Hyperlink"/>
          <w:rFonts w:cs="Times New Roman"/>
          <w:color w:val="auto"/>
          <w:szCs w:val="24"/>
          <w:u w:val="none"/>
        </w:rPr>
        <w:t>Toronto, Canada: Carswell.</w:t>
      </w:r>
    </w:p>
    <w:sectPr w:rsidR="002E3A1C" w:rsidRPr="002E3A1C" w:rsidSect="0012335A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7E4" w:rsidRDefault="00FF67E4" w:rsidP="002F72EE">
      <w:pPr>
        <w:spacing w:after="0" w:line="240" w:lineRule="auto"/>
      </w:pPr>
      <w:r>
        <w:separator/>
      </w:r>
    </w:p>
  </w:endnote>
  <w:endnote w:type="continuationSeparator" w:id="0">
    <w:p w:rsidR="00FF67E4" w:rsidRDefault="00FF67E4" w:rsidP="002F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E4" w:rsidRDefault="00FF67E4">
    <w:pPr>
      <w:pStyle w:val="Footer"/>
    </w:pPr>
  </w:p>
  <w:p w:rsidR="00FF67E4" w:rsidRDefault="00FF6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E4" w:rsidRPr="0012335A" w:rsidRDefault="00FF67E4" w:rsidP="0012335A">
    <w:pPr>
      <w:autoSpaceDE w:val="0"/>
      <w:autoSpaceDN w:val="0"/>
      <w:adjustRightInd w:val="0"/>
      <w:spacing w:after="0" w:line="240" w:lineRule="auto"/>
      <w:jc w:val="center"/>
      <w:rPr>
        <w:rFonts w:cs="Times New Roman"/>
        <w:sz w:val="18"/>
        <w:szCs w:val="18"/>
      </w:rPr>
    </w:pPr>
    <w:r w:rsidRPr="0012335A">
      <w:rPr>
        <w:rFonts w:cs="Times New Roman"/>
        <w:sz w:val="18"/>
        <w:szCs w:val="18"/>
      </w:rPr>
      <w:t>© Royal Roads University</w:t>
    </w:r>
  </w:p>
  <w:p w:rsidR="00FF67E4" w:rsidRDefault="00FF6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7E4" w:rsidRDefault="00FF67E4" w:rsidP="002F72EE">
      <w:pPr>
        <w:spacing w:after="0" w:line="240" w:lineRule="auto"/>
      </w:pPr>
      <w:r>
        <w:separator/>
      </w:r>
    </w:p>
  </w:footnote>
  <w:footnote w:type="continuationSeparator" w:id="0">
    <w:p w:rsidR="00FF67E4" w:rsidRDefault="00FF67E4" w:rsidP="002F72EE">
      <w:pPr>
        <w:spacing w:after="0" w:line="240" w:lineRule="auto"/>
      </w:pPr>
      <w:r>
        <w:continuationSeparator/>
      </w:r>
    </w:p>
  </w:footnote>
  <w:footnote w:id="1">
    <w:p w:rsidR="00FF67E4" w:rsidRDefault="00FF67E4">
      <w:pPr>
        <w:pStyle w:val="FootnoteText"/>
      </w:pPr>
      <w:r>
        <w:rPr>
          <w:rStyle w:val="FootnoteReference"/>
        </w:rPr>
        <w:footnoteRef/>
      </w:r>
      <w:r>
        <w:t xml:space="preserve"> Like this.</w:t>
      </w:r>
    </w:p>
  </w:footnote>
  <w:footnote w:id="2">
    <w:p w:rsidR="00FF67E4" w:rsidRDefault="00FF67E4">
      <w:pPr>
        <w:pStyle w:val="FootnoteText"/>
      </w:pPr>
      <w:r>
        <w:rPr>
          <w:rStyle w:val="FootnoteReference"/>
        </w:rPr>
        <w:footnoteRef/>
      </w:r>
      <w:r>
        <w:t xml:space="preserve"> Martin </w:t>
      </w:r>
      <w:r>
        <w:t xml:space="preserve">Loughlin, “The Functionalist Style in Public Law” (2005) 55 UTLJ361; Martin Loughlin, </w:t>
      </w:r>
      <w:r w:rsidRPr="00F03B44">
        <w:rPr>
          <w:i/>
        </w:rPr>
        <w:t>Public Law and Political Theory</w:t>
      </w:r>
      <w:r>
        <w:t xml:space="preserve"> (Oxford: Clarendon Press, 1992).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23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67E4" w:rsidRDefault="00FF67E4" w:rsidP="00A23EFA">
        <w:pPr>
          <w:pStyle w:val="Header"/>
        </w:pPr>
        <w:r>
          <w:rPr>
            <w:rFonts w:cs="Times New Roman"/>
            <w:szCs w:val="24"/>
          </w:rPr>
          <w:t>GENERAL RULES OF LEGAL CITATIONS</w:t>
        </w:r>
        <w:r>
          <w:rPr>
            <w:rFonts w:cs="Times New Roman"/>
            <w:szCs w:val="24"/>
          </w:rPr>
          <w:tab/>
        </w:r>
        <w:r>
          <w:rPr>
            <w:rFonts w:cs="Times New Roman"/>
            <w:szCs w:val="24"/>
          </w:rPr>
          <w:tab/>
        </w:r>
        <w:r w:rsidRPr="00C72B63">
          <w:rPr>
            <w:rFonts w:cs="Times New Roman"/>
            <w:szCs w:val="24"/>
          </w:rPr>
          <w:fldChar w:fldCharType="begin"/>
        </w:r>
        <w:r w:rsidRPr="00C72B63">
          <w:rPr>
            <w:rFonts w:cs="Times New Roman"/>
            <w:szCs w:val="24"/>
          </w:rPr>
          <w:instrText xml:space="preserve"> PAGE   \* MERGEFORMAT </w:instrText>
        </w:r>
        <w:r w:rsidRPr="00C72B63">
          <w:rPr>
            <w:rFonts w:cs="Times New Roman"/>
            <w:szCs w:val="24"/>
          </w:rPr>
          <w:fldChar w:fldCharType="separate"/>
        </w:r>
        <w:r w:rsidR="00E5514B">
          <w:rPr>
            <w:rFonts w:cs="Times New Roman"/>
            <w:noProof/>
            <w:szCs w:val="24"/>
          </w:rPr>
          <w:t>2</w:t>
        </w:r>
        <w:r w:rsidRPr="00C72B63">
          <w:rPr>
            <w:rFonts w:cs="Times New Roman"/>
            <w:noProof/>
            <w:szCs w:val="24"/>
          </w:rPr>
          <w:fldChar w:fldCharType="end"/>
        </w:r>
      </w:p>
    </w:sdtContent>
  </w:sdt>
  <w:p w:rsidR="00FF67E4" w:rsidRPr="0045791C" w:rsidRDefault="00FF67E4" w:rsidP="00457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E4" w:rsidRPr="002F72EE" w:rsidRDefault="00FF67E4" w:rsidP="0012335A">
    <w:pPr>
      <w:pStyle w:val="Header"/>
      <w:rPr>
        <w:rFonts w:cs="Times New Roman"/>
        <w:szCs w:val="24"/>
      </w:rPr>
    </w:pPr>
    <w:r>
      <w:rPr>
        <w:rFonts w:cs="Times New Roman"/>
        <w:szCs w:val="24"/>
      </w:rPr>
      <w:t>Running head: GENERAL RULES OF LEGAL CITATIONS</w:t>
    </w:r>
  </w:p>
  <w:p w:rsidR="00FF67E4" w:rsidRPr="0012335A" w:rsidRDefault="00FF67E4" w:rsidP="00123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E15"/>
    <w:multiLevelType w:val="hybridMultilevel"/>
    <w:tmpl w:val="DA965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CAC"/>
    <w:multiLevelType w:val="hybridMultilevel"/>
    <w:tmpl w:val="43707A4E"/>
    <w:lvl w:ilvl="0" w:tplc="55C0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269B"/>
    <w:multiLevelType w:val="hybridMultilevel"/>
    <w:tmpl w:val="6388B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75E"/>
    <w:multiLevelType w:val="hybridMultilevel"/>
    <w:tmpl w:val="A51C9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2130"/>
    <w:multiLevelType w:val="hybridMultilevel"/>
    <w:tmpl w:val="229C2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5DEB"/>
    <w:multiLevelType w:val="hybridMultilevel"/>
    <w:tmpl w:val="786AED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321C91"/>
    <w:multiLevelType w:val="hybridMultilevel"/>
    <w:tmpl w:val="31389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3F"/>
    <w:rsid w:val="00004E2A"/>
    <w:rsid w:val="00010F03"/>
    <w:rsid w:val="00035D39"/>
    <w:rsid w:val="00074B7D"/>
    <w:rsid w:val="0009313F"/>
    <w:rsid w:val="000C2385"/>
    <w:rsid w:val="000C331B"/>
    <w:rsid w:val="0011095D"/>
    <w:rsid w:val="0012335A"/>
    <w:rsid w:val="00156C8E"/>
    <w:rsid w:val="001763CD"/>
    <w:rsid w:val="001F6C5A"/>
    <w:rsid w:val="0021283C"/>
    <w:rsid w:val="0025553A"/>
    <w:rsid w:val="00265BDA"/>
    <w:rsid w:val="002B6E5B"/>
    <w:rsid w:val="002E28A1"/>
    <w:rsid w:val="002E3A1C"/>
    <w:rsid w:val="002F582E"/>
    <w:rsid w:val="002F72EE"/>
    <w:rsid w:val="00300DA4"/>
    <w:rsid w:val="00301BB3"/>
    <w:rsid w:val="00304FFE"/>
    <w:rsid w:val="00331D20"/>
    <w:rsid w:val="00343F96"/>
    <w:rsid w:val="003A6E44"/>
    <w:rsid w:val="003B295B"/>
    <w:rsid w:val="003C05D9"/>
    <w:rsid w:val="003E3441"/>
    <w:rsid w:val="0042539B"/>
    <w:rsid w:val="004457DA"/>
    <w:rsid w:val="004509C5"/>
    <w:rsid w:val="004530DC"/>
    <w:rsid w:val="0045791C"/>
    <w:rsid w:val="00465B86"/>
    <w:rsid w:val="0047271D"/>
    <w:rsid w:val="004E0F83"/>
    <w:rsid w:val="004F4722"/>
    <w:rsid w:val="0051055F"/>
    <w:rsid w:val="00514593"/>
    <w:rsid w:val="005212CD"/>
    <w:rsid w:val="00557214"/>
    <w:rsid w:val="00596652"/>
    <w:rsid w:val="005B3043"/>
    <w:rsid w:val="005D27D6"/>
    <w:rsid w:val="005F4AA3"/>
    <w:rsid w:val="006053D7"/>
    <w:rsid w:val="0063145C"/>
    <w:rsid w:val="00641155"/>
    <w:rsid w:val="0066185A"/>
    <w:rsid w:val="00662721"/>
    <w:rsid w:val="0067088A"/>
    <w:rsid w:val="0068688D"/>
    <w:rsid w:val="006F1C8F"/>
    <w:rsid w:val="00704331"/>
    <w:rsid w:val="007368F2"/>
    <w:rsid w:val="0074392A"/>
    <w:rsid w:val="00753457"/>
    <w:rsid w:val="007B03D5"/>
    <w:rsid w:val="007B17FD"/>
    <w:rsid w:val="007C7936"/>
    <w:rsid w:val="00865530"/>
    <w:rsid w:val="00872C20"/>
    <w:rsid w:val="00876EE7"/>
    <w:rsid w:val="008E0D52"/>
    <w:rsid w:val="00941947"/>
    <w:rsid w:val="0095180B"/>
    <w:rsid w:val="0096577D"/>
    <w:rsid w:val="00972958"/>
    <w:rsid w:val="0098710C"/>
    <w:rsid w:val="009928F9"/>
    <w:rsid w:val="009A5A71"/>
    <w:rsid w:val="009C5A1B"/>
    <w:rsid w:val="009C7848"/>
    <w:rsid w:val="009F44B5"/>
    <w:rsid w:val="009F5194"/>
    <w:rsid w:val="00A014E3"/>
    <w:rsid w:val="00A04BF5"/>
    <w:rsid w:val="00A23EFA"/>
    <w:rsid w:val="00A320D3"/>
    <w:rsid w:val="00A37C0B"/>
    <w:rsid w:val="00A543D6"/>
    <w:rsid w:val="00A7518F"/>
    <w:rsid w:val="00A84865"/>
    <w:rsid w:val="00AC29CE"/>
    <w:rsid w:val="00AE227F"/>
    <w:rsid w:val="00B0216A"/>
    <w:rsid w:val="00BB5A8A"/>
    <w:rsid w:val="00BE4301"/>
    <w:rsid w:val="00C52775"/>
    <w:rsid w:val="00C72B63"/>
    <w:rsid w:val="00CA1578"/>
    <w:rsid w:val="00CA6266"/>
    <w:rsid w:val="00CB0F76"/>
    <w:rsid w:val="00CC3C82"/>
    <w:rsid w:val="00D35DAD"/>
    <w:rsid w:val="00D45BD3"/>
    <w:rsid w:val="00D631B4"/>
    <w:rsid w:val="00D96AFA"/>
    <w:rsid w:val="00DA020A"/>
    <w:rsid w:val="00DD2389"/>
    <w:rsid w:val="00E27BF0"/>
    <w:rsid w:val="00E32494"/>
    <w:rsid w:val="00E37D8E"/>
    <w:rsid w:val="00E5514B"/>
    <w:rsid w:val="00E8038B"/>
    <w:rsid w:val="00EF41FC"/>
    <w:rsid w:val="00EF5D32"/>
    <w:rsid w:val="00F03B44"/>
    <w:rsid w:val="00F0662F"/>
    <w:rsid w:val="00F13483"/>
    <w:rsid w:val="00F426A7"/>
    <w:rsid w:val="00F9260D"/>
    <w:rsid w:val="00FE2AF2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2A76F4"/>
  <w15:docId w15:val="{E049AE3C-EA19-4AA5-9A93-1127B13F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D39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3D5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EE"/>
  </w:style>
  <w:style w:type="paragraph" w:styleId="Footer">
    <w:name w:val="footer"/>
    <w:basedOn w:val="Normal"/>
    <w:link w:val="FooterChar"/>
    <w:uiPriority w:val="99"/>
    <w:unhideWhenUsed/>
    <w:rsid w:val="002F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EE"/>
  </w:style>
  <w:style w:type="character" w:styleId="Emphasis">
    <w:name w:val="Emphasis"/>
    <w:basedOn w:val="DefaultParagraphFont"/>
    <w:uiPriority w:val="20"/>
    <w:qFormat/>
    <w:rsid w:val="002F72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8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D3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3D5"/>
    <w:rPr>
      <w:rFonts w:eastAsiaTheme="majorEastAsia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9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9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9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665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947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19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194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rary.ubc.ca/legalcitation/home" TargetMode="External"/><Relationship Id="rId13" Type="http://schemas.openxmlformats.org/officeDocument/2006/relationships/hyperlink" Target="http://library.royalroads.ca/writing-centre/citing-resources/apa-styl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uides.library.ubc.ca/legalcitation/ho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uides.library.ubc.ca/legalcitation/hom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des.library.ubc.ca/legalcitation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riteanswers.royalroads.ca/a.php?qid=601329" TargetMode="External"/><Relationship Id="rId10" Type="http://schemas.openxmlformats.org/officeDocument/2006/relationships/hyperlink" Target="http://writeanswers.royalroads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guides.library.ubc.ca/legalcitation/home" TargetMode="Externa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D5FE-B854-4D6B-AF53-8E04F3E1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2795</Words>
  <Characters>15933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Bell</dc:creator>
  <cp:lastModifiedBy>Theresa Bell</cp:lastModifiedBy>
  <cp:revision>2</cp:revision>
  <cp:lastPrinted>2014-10-23T17:39:00Z</cp:lastPrinted>
  <dcterms:created xsi:type="dcterms:W3CDTF">2019-10-21T18:24:00Z</dcterms:created>
  <dcterms:modified xsi:type="dcterms:W3CDTF">2019-10-21T18:24:00Z</dcterms:modified>
</cp:coreProperties>
</file>